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433" w:rsidRDefault="00480433" w:rsidP="00480433">
      <w:pPr>
        <w:keepNext/>
        <w:jc w:val="center"/>
      </w:pPr>
      <w:r>
        <w:rPr>
          <w:noProof/>
          <w:lang w:val="en-IE" w:eastAsia="en-IE"/>
        </w:rPr>
        <w:drawing>
          <wp:inline distT="0" distB="0" distL="0" distR="0">
            <wp:extent cx="1495425" cy="381000"/>
            <wp:effectExtent l="19050" t="0" r="9525" b="0"/>
            <wp:docPr id="1" name="Picture 1" descr="Marine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ne_logo_rgb"/>
                    <pic:cNvPicPr>
                      <a:picLocks noChangeAspect="1" noChangeArrowheads="1"/>
                    </pic:cNvPicPr>
                  </pic:nvPicPr>
                  <pic:blipFill>
                    <a:blip r:embed="rId6" cstate="print"/>
                    <a:srcRect/>
                    <a:stretch>
                      <a:fillRect/>
                    </a:stretch>
                  </pic:blipFill>
                  <pic:spPr bwMode="auto">
                    <a:xfrm>
                      <a:off x="0" y="0"/>
                      <a:ext cx="1495425" cy="381000"/>
                    </a:xfrm>
                    <a:prstGeom prst="rect">
                      <a:avLst/>
                    </a:prstGeom>
                    <a:noFill/>
                    <a:ln w="9525">
                      <a:noFill/>
                      <a:miter lim="800000"/>
                      <a:headEnd/>
                      <a:tailEnd/>
                    </a:ln>
                  </pic:spPr>
                </pic:pic>
              </a:graphicData>
            </a:graphic>
          </wp:inline>
        </w:drawing>
      </w:r>
    </w:p>
    <w:p w:rsidR="00480433" w:rsidRDefault="00480433" w:rsidP="00480433">
      <w:pPr>
        <w:jc w:val="center"/>
        <w:rPr>
          <w:b/>
          <w:color w:val="000080"/>
          <w:sz w:val="20"/>
          <w:szCs w:val="20"/>
          <w:lang w:val="en-IE"/>
        </w:rPr>
      </w:pPr>
    </w:p>
    <w:p w:rsidR="00480433" w:rsidRDefault="00F30522" w:rsidP="00480433">
      <w:pPr>
        <w:jc w:val="center"/>
        <w:rPr>
          <w:b/>
          <w:color w:val="000080"/>
          <w:sz w:val="20"/>
          <w:szCs w:val="20"/>
          <w:lang w:val="en-IE"/>
        </w:rPr>
      </w:pPr>
      <w:r>
        <w:rPr>
          <w:b/>
          <w:color w:val="000080"/>
          <w:sz w:val="20"/>
          <w:szCs w:val="20"/>
          <w:lang w:val="en-IE"/>
        </w:rPr>
        <w:t>Advice note to DAFM</w:t>
      </w:r>
    </w:p>
    <w:p w:rsidR="00480433" w:rsidRDefault="005B35EE" w:rsidP="00480433">
      <w:pPr>
        <w:jc w:val="center"/>
        <w:rPr>
          <w:b/>
          <w:color w:val="000080"/>
          <w:sz w:val="20"/>
          <w:szCs w:val="20"/>
          <w:lang w:val="en-IE"/>
        </w:rPr>
      </w:pPr>
      <w:r>
        <w:rPr>
          <w:b/>
          <w:color w:val="000080"/>
          <w:sz w:val="20"/>
          <w:szCs w:val="20"/>
          <w:lang w:val="en-IE"/>
        </w:rPr>
        <w:t>2</w:t>
      </w:r>
      <w:r w:rsidR="007D48F4">
        <w:rPr>
          <w:b/>
          <w:color w:val="000080"/>
          <w:sz w:val="20"/>
          <w:szCs w:val="20"/>
          <w:lang w:val="en-IE"/>
        </w:rPr>
        <w:t xml:space="preserve"> of 2019</w:t>
      </w:r>
    </w:p>
    <w:p w:rsidR="0039715E" w:rsidRPr="00D1689B" w:rsidRDefault="000A71E8" w:rsidP="0039715E">
      <w:pPr>
        <w:jc w:val="center"/>
        <w:rPr>
          <w:b/>
          <w:color w:val="000080"/>
          <w:sz w:val="20"/>
          <w:szCs w:val="20"/>
          <w:lang w:val="en-IE"/>
        </w:rPr>
      </w:pPr>
      <w:r>
        <w:rPr>
          <w:b/>
          <w:color w:val="000080"/>
          <w:sz w:val="20"/>
          <w:szCs w:val="20"/>
          <w:lang w:val="en-IE"/>
        </w:rPr>
        <w:t xml:space="preserve">July </w:t>
      </w:r>
      <w:r w:rsidR="007D48F4">
        <w:rPr>
          <w:b/>
          <w:color w:val="000080"/>
          <w:sz w:val="20"/>
          <w:szCs w:val="20"/>
          <w:lang w:val="en-IE"/>
        </w:rPr>
        <w:t>2</w:t>
      </w:r>
      <w:r>
        <w:rPr>
          <w:b/>
          <w:color w:val="000080"/>
          <w:sz w:val="20"/>
          <w:szCs w:val="20"/>
          <w:lang w:val="en-IE"/>
        </w:rPr>
        <w:t>9th</w:t>
      </w:r>
    </w:p>
    <w:p w:rsidR="00480433" w:rsidRPr="00CF5651" w:rsidRDefault="00480433" w:rsidP="00480433">
      <w:pPr>
        <w:jc w:val="center"/>
        <w:rPr>
          <w:b/>
          <w:color w:val="000080"/>
          <w:sz w:val="18"/>
          <w:szCs w:val="20"/>
          <w:lang w:val="en-IE"/>
        </w:rPr>
      </w:pPr>
      <w:r w:rsidRPr="00CF5651">
        <w:rPr>
          <w:b/>
          <w:color w:val="000080"/>
          <w:sz w:val="18"/>
          <w:szCs w:val="20"/>
          <w:lang w:val="en-IE"/>
        </w:rPr>
        <w:t xml:space="preserve">(Fisheries Ecosystem Advice Services, </w:t>
      </w:r>
      <w:hyperlink r:id="rId7" w:history="1">
        <w:r w:rsidRPr="00CF5651">
          <w:rPr>
            <w:rStyle w:val="Hyperlink"/>
            <w:b/>
            <w:sz w:val="18"/>
            <w:szCs w:val="20"/>
            <w:lang w:val="en-IE"/>
          </w:rPr>
          <w:t>oliver.tully@marine.ie</w:t>
        </w:r>
      </w:hyperlink>
      <w:r w:rsidRPr="00CF5651">
        <w:rPr>
          <w:b/>
          <w:color w:val="000080"/>
          <w:sz w:val="18"/>
          <w:szCs w:val="20"/>
          <w:lang w:val="en-IE"/>
        </w:rPr>
        <w:t>)</w:t>
      </w:r>
    </w:p>
    <w:p w:rsidR="00480433" w:rsidRPr="00D1689B" w:rsidRDefault="00480433" w:rsidP="00480433">
      <w:pPr>
        <w:jc w:val="center"/>
        <w:rPr>
          <w:b/>
          <w:color w:val="000080"/>
          <w:sz w:val="20"/>
          <w:szCs w:val="20"/>
          <w:lang w:val="en-IE"/>
        </w:rPr>
      </w:pPr>
    </w:p>
    <w:p w:rsidR="00480433" w:rsidRPr="00CF5651" w:rsidRDefault="00480433" w:rsidP="00480433">
      <w:pPr>
        <w:rPr>
          <w:b/>
          <w:sz w:val="20"/>
          <w:szCs w:val="20"/>
          <w:lang w:val="en-IE"/>
        </w:rPr>
      </w:pPr>
      <w:r w:rsidRPr="00CF5651">
        <w:rPr>
          <w:b/>
          <w:sz w:val="20"/>
          <w:szCs w:val="20"/>
          <w:lang w:val="en-IE"/>
        </w:rPr>
        <w:t>Subject: Dundalk cockle fishery</w:t>
      </w:r>
    </w:p>
    <w:p w:rsidR="00480433" w:rsidRPr="00CF5651" w:rsidRDefault="00480433" w:rsidP="00480433">
      <w:pPr>
        <w:rPr>
          <w:b/>
          <w:sz w:val="20"/>
          <w:szCs w:val="20"/>
          <w:lang w:val="en-IE"/>
        </w:rPr>
      </w:pPr>
    </w:p>
    <w:p w:rsidR="00480433" w:rsidRPr="00CF5651" w:rsidRDefault="00480433" w:rsidP="00480433">
      <w:pPr>
        <w:jc w:val="both"/>
        <w:rPr>
          <w:b/>
          <w:sz w:val="20"/>
          <w:szCs w:val="20"/>
        </w:rPr>
      </w:pPr>
      <w:r w:rsidRPr="00CF5651">
        <w:rPr>
          <w:b/>
          <w:sz w:val="20"/>
          <w:szCs w:val="20"/>
        </w:rPr>
        <w:t>Advice for 201</w:t>
      </w:r>
      <w:r w:rsidR="007D48F4">
        <w:rPr>
          <w:b/>
          <w:sz w:val="20"/>
          <w:szCs w:val="20"/>
        </w:rPr>
        <w:t>9</w:t>
      </w:r>
      <w:r w:rsidRPr="00CF5651">
        <w:rPr>
          <w:b/>
          <w:sz w:val="20"/>
          <w:szCs w:val="20"/>
        </w:rPr>
        <w:t xml:space="preserve"> fishery </w:t>
      </w:r>
    </w:p>
    <w:p w:rsidR="00480433" w:rsidRPr="00CF5651" w:rsidRDefault="00480433" w:rsidP="00480433">
      <w:pPr>
        <w:jc w:val="both"/>
        <w:rPr>
          <w:b/>
          <w:sz w:val="20"/>
          <w:szCs w:val="20"/>
        </w:rPr>
      </w:pPr>
    </w:p>
    <w:p w:rsidR="00117963" w:rsidRDefault="00480433" w:rsidP="00DC4E9D">
      <w:pPr>
        <w:jc w:val="both"/>
        <w:rPr>
          <w:sz w:val="20"/>
          <w:szCs w:val="20"/>
        </w:rPr>
      </w:pPr>
      <w:r w:rsidRPr="00CF5651">
        <w:rPr>
          <w:sz w:val="20"/>
          <w:szCs w:val="20"/>
        </w:rPr>
        <w:t xml:space="preserve">Biomass </w:t>
      </w:r>
      <w:r w:rsidR="0039715E" w:rsidRPr="00CF5651">
        <w:rPr>
          <w:sz w:val="20"/>
          <w:szCs w:val="20"/>
        </w:rPr>
        <w:t>of cockles</w:t>
      </w:r>
      <w:r w:rsidR="00AE210B" w:rsidRPr="00CF5651">
        <w:rPr>
          <w:sz w:val="20"/>
          <w:szCs w:val="20"/>
        </w:rPr>
        <w:t xml:space="preserve"> </w:t>
      </w:r>
      <w:r w:rsidRPr="00CF5651">
        <w:rPr>
          <w:sz w:val="20"/>
          <w:szCs w:val="20"/>
        </w:rPr>
        <w:t xml:space="preserve">in </w:t>
      </w:r>
      <w:r w:rsidR="00173CD4" w:rsidRPr="00CF5651">
        <w:rPr>
          <w:sz w:val="20"/>
          <w:szCs w:val="20"/>
        </w:rPr>
        <w:t xml:space="preserve">Dundalk Bay in </w:t>
      </w:r>
      <w:r w:rsidR="007D48F4">
        <w:rPr>
          <w:sz w:val="20"/>
          <w:szCs w:val="20"/>
        </w:rPr>
        <w:t>July 2019</w:t>
      </w:r>
      <w:r w:rsidRPr="00CF5651">
        <w:rPr>
          <w:sz w:val="20"/>
          <w:szCs w:val="20"/>
        </w:rPr>
        <w:t xml:space="preserve"> was </w:t>
      </w:r>
      <w:r w:rsidR="00A669BF">
        <w:rPr>
          <w:sz w:val="20"/>
          <w:szCs w:val="20"/>
        </w:rPr>
        <w:t>estimated to be 3,789</w:t>
      </w:r>
      <w:r w:rsidR="00CB79EF">
        <w:rPr>
          <w:sz w:val="20"/>
          <w:szCs w:val="20"/>
        </w:rPr>
        <w:t xml:space="preserve"> </w:t>
      </w:r>
      <w:r w:rsidRPr="00CF5651">
        <w:rPr>
          <w:sz w:val="20"/>
          <w:szCs w:val="20"/>
        </w:rPr>
        <w:t>tonnes.</w:t>
      </w:r>
      <w:r w:rsidR="00117963">
        <w:rPr>
          <w:sz w:val="20"/>
          <w:szCs w:val="20"/>
        </w:rPr>
        <w:t xml:space="preserve"> </w:t>
      </w:r>
      <w:r w:rsidRPr="00CF5651">
        <w:rPr>
          <w:sz w:val="20"/>
          <w:szCs w:val="20"/>
        </w:rPr>
        <w:t xml:space="preserve"> </w:t>
      </w:r>
      <w:r w:rsidR="00117963">
        <w:rPr>
          <w:sz w:val="20"/>
          <w:szCs w:val="20"/>
        </w:rPr>
        <w:t>Biomass of commercial size co</w:t>
      </w:r>
      <w:r w:rsidR="00C715D1">
        <w:rPr>
          <w:sz w:val="20"/>
          <w:szCs w:val="20"/>
        </w:rPr>
        <w:t>ckles (22 mm and over) was 1,162</w:t>
      </w:r>
      <w:r w:rsidR="00117963">
        <w:rPr>
          <w:sz w:val="20"/>
          <w:szCs w:val="20"/>
        </w:rPr>
        <w:t xml:space="preserve"> tonnes which is similar to that of 2018.  </w:t>
      </w:r>
      <w:r w:rsidRPr="00CF5651">
        <w:rPr>
          <w:sz w:val="20"/>
          <w:szCs w:val="20"/>
        </w:rPr>
        <w:t xml:space="preserve">As agreed in the 5 year Fishery Natura Plan </w:t>
      </w:r>
      <w:r w:rsidR="00A83670">
        <w:rPr>
          <w:sz w:val="20"/>
          <w:szCs w:val="20"/>
        </w:rPr>
        <w:t xml:space="preserve">2016-2020, </w:t>
      </w:r>
      <w:r w:rsidRPr="00CF5651">
        <w:rPr>
          <w:sz w:val="20"/>
          <w:szCs w:val="20"/>
        </w:rPr>
        <w:t xml:space="preserve">for </w:t>
      </w:r>
      <w:r w:rsidR="00173CD4" w:rsidRPr="00CF5651">
        <w:rPr>
          <w:sz w:val="20"/>
          <w:szCs w:val="20"/>
        </w:rPr>
        <w:t>this fishery</w:t>
      </w:r>
      <w:r w:rsidR="00A83670">
        <w:rPr>
          <w:sz w:val="20"/>
          <w:szCs w:val="20"/>
        </w:rPr>
        <w:t xml:space="preserve">, </w:t>
      </w:r>
      <w:r w:rsidRPr="00CF5651">
        <w:rPr>
          <w:sz w:val="20"/>
          <w:szCs w:val="20"/>
        </w:rPr>
        <w:t xml:space="preserve">the annual total allowable catch (TAC) is </w:t>
      </w:r>
      <w:r w:rsidR="005B35EE">
        <w:rPr>
          <w:sz w:val="20"/>
          <w:szCs w:val="20"/>
        </w:rPr>
        <w:t xml:space="preserve">set </w:t>
      </w:r>
      <w:r w:rsidR="00CF0D99">
        <w:rPr>
          <w:sz w:val="20"/>
          <w:szCs w:val="20"/>
        </w:rPr>
        <w:t xml:space="preserve">at </w:t>
      </w:r>
      <w:r w:rsidRPr="00CF5651">
        <w:rPr>
          <w:sz w:val="20"/>
          <w:szCs w:val="20"/>
        </w:rPr>
        <w:t>33% of the total estimated biomass</w:t>
      </w:r>
      <w:r w:rsidR="00CF0D99">
        <w:rPr>
          <w:sz w:val="20"/>
          <w:szCs w:val="20"/>
        </w:rPr>
        <w:t>,</w:t>
      </w:r>
      <w:r w:rsidRPr="00CF5651">
        <w:rPr>
          <w:sz w:val="20"/>
          <w:szCs w:val="20"/>
        </w:rPr>
        <w:t xml:space="preserve"> if biomass is greater than 750 tonnes</w:t>
      </w:r>
      <w:r w:rsidR="00CF0D99">
        <w:rPr>
          <w:sz w:val="20"/>
          <w:szCs w:val="20"/>
        </w:rPr>
        <w:t>,</w:t>
      </w:r>
      <w:r w:rsidR="005B35EE">
        <w:rPr>
          <w:sz w:val="20"/>
          <w:szCs w:val="20"/>
        </w:rPr>
        <w:t xml:space="preserve"> and 50% of biomass if the biomass exceeds 3000 tonnes</w:t>
      </w:r>
      <w:r w:rsidRPr="00CF5651">
        <w:rPr>
          <w:sz w:val="20"/>
          <w:szCs w:val="20"/>
        </w:rPr>
        <w:t>.</w:t>
      </w:r>
      <w:r w:rsidR="00117963">
        <w:rPr>
          <w:sz w:val="20"/>
          <w:szCs w:val="20"/>
        </w:rPr>
        <w:t xml:space="preserve"> </w:t>
      </w:r>
      <w:r w:rsidRPr="00CF5651">
        <w:rPr>
          <w:sz w:val="20"/>
          <w:szCs w:val="20"/>
        </w:rPr>
        <w:t xml:space="preserve"> </w:t>
      </w:r>
      <w:r w:rsidR="00A669BF">
        <w:rPr>
          <w:sz w:val="20"/>
          <w:szCs w:val="20"/>
        </w:rPr>
        <w:t>However</w:t>
      </w:r>
      <w:r w:rsidR="00117963">
        <w:rPr>
          <w:sz w:val="20"/>
          <w:szCs w:val="20"/>
        </w:rPr>
        <w:t>, as</w:t>
      </w:r>
      <w:r w:rsidR="00A669BF">
        <w:rPr>
          <w:sz w:val="20"/>
          <w:szCs w:val="20"/>
        </w:rPr>
        <w:t xml:space="preserve"> the</w:t>
      </w:r>
      <w:r w:rsidR="005B35EE">
        <w:rPr>
          <w:sz w:val="20"/>
          <w:szCs w:val="20"/>
        </w:rPr>
        <w:t xml:space="preserve"> </w:t>
      </w:r>
      <w:r w:rsidR="00CF0D99">
        <w:rPr>
          <w:sz w:val="20"/>
          <w:szCs w:val="20"/>
        </w:rPr>
        <w:t xml:space="preserve">biomass </w:t>
      </w:r>
      <w:r w:rsidR="005B35EE">
        <w:rPr>
          <w:sz w:val="20"/>
          <w:szCs w:val="20"/>
        </w:rPr>
        <w:t xml:space="preserve">over 22mm </w:t>
      </w:r>
      <w:r w:rsidR="00CF0D99">
        <w:rPr>
          <w:sz w:val="20"/>
          <w:szCs w:val="20"/>
        </w:rPr>
        <w:t>of</w:t>
      </w:r>
      <w:r w:rsidR="005B35EE">
        <w:rPr>
          <w:sz w:val="20"/>
          <w:szCs w:val="20"/>
        </w:rPr>
        <w:t xml:space="preserve"> 1162 </w:t>
      </w:r>
      <w:r w:rsidR="00CF0D99">
        <w:rPr>
          <w:sz w:val="20"/>
          <w:szCs w:val="20"/>
        </w:rPr>
        <w:t xml:space="preserve">tonnes </w:t>
      </w:r>
      <w:r w:rsidR="00A83670">
        <w:rPr>
          <w:sz w:val="20"/>
          <w:szCs w:val="20"/>
        </w:rPr>
        <w:t xml:space="preserve">in 2019 </w:t>
      </w:r>
      <w:r w:rsidR="005B35EE">
        <w:rPr>
          <w:sz w:val="20"/>
          <w:szCs w:val="20"/>
        </w:rPr>
        <w:t xml:space="preserve">is only 30% of the biomass </w:t>
      </w:r>
      <w:r w:rsidR="00117963">
        <w:rPr>
          <w:sz w:val="20"/>
          <w:szCs w:val="20"/>
        </w:rPr>
        <w:t xml:space="preserve">a TAC of 33% or 50% of </w:t>
      </w:r>
      <w:r w:rsidR="00C715D1">
        <w:rPr>
          <w:sz w:val="20"/>
          <w:szCs w:val="20"/>
        </w:rPr>
        <w:t xml:space="preserve">the </w:t>
      </w:r>
      <w:r w:rsidR="00117963">
        <w:rPr>
          <w:sz w:val="20"/>
          <w:szCs w:val="20"/>
        </w:rPr>
        <w:t>survey biomass cannot be realised.  A TAC of 33% would involve landing all commercial size cockle</w:t>
      </w:r>
      <w:r w:rsidR="005B35EE">
        <w:rPr>
          <w:sz w:val="20"/>
          <w:szCs w:val="20"/>
        </w:rPr>
        <w:t>,</w:t>
      </w:r>
      <w:r w:rsidR="00117963">
        <w:rPr>
          <w:sz w:val="20"/>
          <w:szCs w:val="20"/>
        </w:rPr>
        <w:t xml:space="preserve"> which is not </w:t>
      </w:r>
      <w:r w:rsidR="005B35EE">
        <w:rPr>
          <w:sz w:val="20"/>
          <w:szCs w:val="20"/>
        </w:rPr>
        <w:t xml:space="preserve">operationally </w:t>
      </w:r>
      <w:r w:rsidR="00117963">
        <w:rPr>
          <w:sz w:val="20"/>
          <w:szCs w:val="20"/>
        </w:rPr>
        <w:t>feasible</w:t>
      </w:r>
      <w:r w:rsidR="005B35EE">
        <w:rPr>
          <w:sz w:val="20"/>
          <w:szCs w:val="20"/>
        </w:rPr>
        <w:t>,</w:t>
      </w:r>
      <w:r w:rsidR="00117963">
        <w:rPr>
          <w:sz w:val="20"/>
          <w:szCs w:val="20"/>
        </w:rPr>
        <w:t xml:space="preserve"> and a TAC of 50% of biomass would necessarily involve landing cockles below 22 mm.</w:t>
      </w:r>
    </w:p>
    <w:p w:rsidR="00117963" w:rsidRDefault="00117963" w:rsidP="00DC4E9D">
      <w:pPr>
        <w:jc w:val="both"/>
        <w:rPr>
          <w:sz w:val="20"/>
          <w:szCs w:val="20"/>
        </w:rPr>
      </w:pPr>
    </w:p>
    <w:p w:rsidR="00DC4E9D" w:rsidRDefault="00117963" w:rsidP="00DC4E9D">
      <w:pPr>
        <w:jc w:val="both"/>
        <w:rPr>
          <w:sz w:val="20"/>
          <w:szCs w:val="20"/>
        </w:rPr>
      </w:pPr>
      <w:r>
        <w:rPr>
          <w:sz w:val="20"/>
          <w:szCs w:val="20"/>
        </w:rPr>
        <w:t>Given that the biomass of commercial cockles in 2019 is similar to that of 2018 the expected catch per day (based on 2018 fishery data) is 631kgs per boat per day at the beginning of the s</w:t>
      </w:r>
      <w:r w:rsidR="00C715D1">
        <w:rPr>
          <w:sz w:val="20"/>
          <w:szCs w:val="20"/>
        </w:rPr>
        <w:t>eason and is expected to decline to 250</w:t>
      </w:r>
      <w:r>
        <w:rPr>
          <w:sz w:val="20"/>
          <w:szCs w:val="20"/>
        </w:rPr>
        <w:t xml:space="preserve">kg per boat per day when </w:t>
      </w:r>
      <w:r w:rsidR="005B35EE">
        <w:rPr>
          <w:sz w:val="20"/>
          <w:szCs w:val="20"/>
        </w:rPr>
        <w:t xml:space="preserve">approximately </w:t>
      </w:r>
      <w:r>
        <w:rPr>
          <w:sz w:val="20"/>
          <w:szCs w:val="20"/>
        </w:rPr>
        <w:t>600 tonn</w:t>
      </w:r>
      <w:r w:rsidR="00C715D1">
        <w:rPr>
          <w:sz w:val="20"/>
          <w:szCs w:val="20"/>
        </w:rPr>
        <w:t>es are taken.  The catch of 250</w:t>
      </w:r>
      <w:r>
        <w:rPr>
          <w:sz w:val="20"/>
          <w:szCs w:val="20"/>
        </w:rPr>
        <w:t>kg per day is a condition which closes the fishery.  Therefore</w:t>
      </w:r>
      <w:r w:rsidR="00480433" w:rsidRPr="00CF5651">
        <w:rPr>
          <w:sz w:val="20"/>
          <w:szCs w:val="20"/>
        </w:rPr>
        <w:t xml:space="preserve">, </w:t>
      </w:r>
      <w:r>
        <w:rPr>
          <w:sz w:val="20"/>
          <w:szCs w:val="20"/>
        </w:rPr>
        <w:t>a</w:t>
      </w:r>
      <w:r w:rsidR="00480433" w:rsidRPr="00CF5651">
        <w:rPr>
          <w:sz w:val="20"/>
          <w:szCs w:val="20"/>
        </w:rPr>
        <w:t xml:space="preserve"> </w:t>
      </w:r>
      <w:r w:rsidR="00480433" w:rsidRPr="00CD6AAD">
        <w:rPr>
          <w:b/>
          <w:sz w:val="20"/>
          <w:szCs w:val="20"/>
        </w:rPr>
        <w:t xml:space="preserve">TAC </w:t>
      </w:r>
      <w:r w:rsidRPr="00CD6AAD">
        <w:rPr>
          <w:b/>
          <w:sz w:val="20"/>
          <w:szCs w:val="20"/>
        </w:rPr>
        <w:t xml:space="preserve">of 600 tonnes is proposed </w:t>
      </w:r>
      <w:r w:rsidR="00480433" w:rsidRPr="00CD6AAD">
        <w:rPr>
          <w:b/>
          <w:sz w:val="20"/>
          <w:szCs w:val="20"/>
        </w:rPr>
        <w:t>for 201</w:t>
      </w:r>
      <w:r w:rsidR="007D48F4" w:rsidRPr="00CD6AAD">
        <w:rPr>
          <w:b/>
          <w:sz w:val="20"/>
          <w:szCs w:val="20"/>
        </w:rPr>
        <w:t>9</w:t>
      </w:r>
      <w:r w:rsidR="00D87213" w:rsidRPr="00CF5651">
        <w:rPr>
          <w:sz w:val="20"/>
          <w:szCs w:val="20"/>
        </w:rPr>
        <w:t>.</w:t>
      </w:r>
      <w:r w:rsidR="005B35EE">
        <w:rPr>
          <w:sz w:val="20"/>
          <w:szCs w:val="20"/>
        </w:rPr>
        <w:t xml:space="preserve"> </w:t>
      </w:r>
      <w:r>
        <w:rPr>
          <w:sz w:val="20"/>
          <w:szCs w:val="20"/>
        </w:rPr>
        <w:t>This is approximately 50% of the biomass of cockles over 22 mm with an expected decline in catch rate to just over 250 kg per boat per day</w:t>
      </w:r>
      <w:r w:rsidR="005B35EE">
        <w:rPr>
          <w:sz w:val="20"/>
          <w:szCs w:val="20"/>
        </w:rPr>
        <w:t xml:space="preserve"> when 600 tonnes are taken</w:t>
      </w:r>
      <w:r>
        <w:rPr>
          <w:sz w:val="20"/>
          <w:szCs w:val="20"/>
        </w:rPr>
        <w:t>.</w:t>
      </w:r>
      <w:r w:rsidR="00CD6AAD">
        <w:rPr>
          <w:sz w:val="20"/>
          <w:szCs w:val="20"/>
        </w:rPr>
        <w:t xml:space="preserve"> </w:t>
      </w:r>
    </w:p>
    <w:p w:rsidR="00E34453" w:rsidRDefault="00E34453" w:rsidP="00DC4E9D">
      <w:pPr>
        <w:jc w:val="both"/>
        <w:rPr>
          <w:sz w:val="20"/>
          <w:szCs w:val="20"/>
        </w:rPr>
      </w:pPr>
    </w:p>
    <w:p w:rsidR="00E34453" w:rsidRDefault="00E34453" w:rsidP="00DC4E9D">
      <w:pPr>
        <w:jc w:val="both"/>
        <w:rPr>
          <w:sz w:val="20"/>
          <w:szCs w:val="20"/>
        </w:rPr>
      </w:pPr>
      <w:r>
        <w:rPr>
          <w:sz w:val="20"/>
          <w:szCs w:val="20"/>
        </w:rPr>
        <w:t>Two closed areas are also proposed to protect undersize</w:t>
      </w:r>
      <w:r w:rsidR="00AE5F90">
        <w:rPr>
          <w:sz w:val="20"/>
          <w:szCs w:val="20"/>
        </w:rPr>
        <w:t>d cockles from contact with the dredge;</w:t>
      </w:r>
    </w:p>
    <w:p w:rsidR="00AE5F90" w:rsidRDefault="00AE5F90" w:rsidP="00AE5F90">
      <w:pPr>
        <w:pStyle w:val="ListParagraph"/>
        <w:numPr>
          <w:ilvl w:val="0"/>
          <w:numId w:val="3"/>
        </w:numPr>
        <w:jc w:val="both"/>
        <w:rPr>
          <w:sz w:val="20"/>
          <w:szCs w:val="20"/>
        </w:rPr>
      </w:pPr>
      <w:r>
        <w:rPr>
          <w:sz w:val="20"/>
          <w:szCs w:val="20"/>
        </w:rPr>
        <w:t xml:space="preserve">Closed south of latitude </w:t>
      </w:r>
      <w:r>
        <w:rPr>
          <w:sz w:val="20"/>
          <w:szCs w:val="20"/>
        </w:rPr>
        <w:tab/>
        <w:t xml:space="preserve">53 54.33N (closes the </w:t>
      </w:r>
      <w:proofErr w:type="spellStart"/>
      <w:r>
        <w:rPr>
          <w:sz w:val="20"/>
          <w:szCs w:val="20"/>
        </w:rPr>
        <w:t>Annagassan</w:t>
      </w:r>
      <w:proofErr w:type="spellEnd"/>
      <w:r>
        <w:rPr>
          <w:sz w:val="20"/>
          <w:szCs w:val="20"/>
        </w:rPr>
        <w:t xml:space="preserve"> area)</w:t>
      </w:r>
    </w:p>
    <w:p w:rsidR="00AE5F90" w:rsidRDefault="00AE5F90" w:rsidP="00AE5F90">
      <w:pPr>
        <w:pStyle w:val="ListParagraph"/>
        <w:numPr>
          <w:ilvl w:val="0"/>
          <w:numId w:val="3"/>
        </w:numPr>
        <w:jc w:val="both"/>
        <w:rPr>
          <w:sz w:val="20"/>
          <w:szCs w:val="20"/>
        </w:rPr>
      </w:pPr>
      <w:r>
        <w:rPr>
          <w:sz w:val="20"/>
          <w:szCs w:val="20"/>
        </w:rPr>
        <w:t>Closed north and west of</w:t>
      </w:r>
      <w:r>
        <w:rPr>
          <w:sz w:val="20"/>
          <w:szCs w:val="20"/>
        </w:rPr>
        <w:tab/>
        <w:t>53 57.51, 06 21.45</w:t>
      </w:r>
    </w:p>
    <w:p w:rsidR="00AE5F90" w:rsidRDefault="00AE5F90" w:rsidP="00AE5F90">
      <w:pPr>
        <w:pStyle w:val="ListParagraph"/>
        <w:ind w:left="3600"/>
        <w:jc w:val="both"/>
        <w:rPr>
          <w:sz w:val="20"/>
          <w:szCs w:val="20"/>
        </w:rPr>
      </w:pPr>
      <w:r>
        <w:rPr>
          <w:sz w:val="20"/>
          <w:szCs w:val="20"/>
        </w:rPr>
        <w:t>53 57.51, 06 20.10 (closes upper shore area seaward of Blackrock)</w:t>
      </w:r>
    </w:p>
    <w:p w:rsidR="005B35EE" w:rsidRDefault="005B35EE" w:rsidP="005B35EE">
      <w:pPr>
        <w:jc w:val="both"/>
        <w:rPr>
          <w:sz w:val="20"/>
          <w:szCs w:val="20"/>
        </w:rPr>
      </w:pPr>
      <w:r>
        <w:rPr>
          <w:sz w:val="20"/>
          <w:szCs w:val="20"/>
        </w:rPr>
        <w:t xml:space="preserve">The industry propose that these closures can operate voluntarily as they are unlikely to be fished in any case. </w:t>
      </w:r>
    </w:p>
    <w:p w:rsidR="00766541" w:rsidRDefault="00766541" w:rsidP="005B35EE">
      <w:pPr>
        <w:jc w:val="both"/>
        <w:rPr>
          <w:sz w:val="20"/>
          <w:szCs w:val="20"/>
        </w:rPr>
      </w:pPr>
    </w:p>
    <w:p w:rsidR="00766541" w:rsidRPr="005B35EE" w:rsidRDefault="00766541" w:rsidP="005B35EE">
      <w:pPr>
        <w:jc w:val="both"/>
        <w:rPr>
          <w:sz w:val="20"/>
          <w:szCs w:val="20"/>
        </w:rPr>
      </w:pPr>
      <w:r>
        <w:rPr>
          <w:sz w:val="20"/>
          <w:szCs w:val="20"/>
        </w:rPr>
        <w:t>All other conditions set out in the FNP 2016-2020 should apply to the 2019 fishery.</w:t>
      </w:r>
    </w:p>
    <w:p w:rsidR="00480433" w:rsidRPr="00CF5651" w:rsidRDefault="00480433" w:rsidP="00480433">
      <w:pPr>
        <w:rPr>
          <w:b/>
          <w:sz w:val="20"/>
          <w:szCs w:val="20"/>
          <w:lang w:val="en-IE"/>
        </w:rPr>
      </w:pPr>
    </w:p>
    <w:p w:rsidR="00480433" w:rsidRPr="00CF5651" w:rsidRDefault="00480433" w:rsidP="00480433">
      <w:pPr>
        <w:rPr>
          <w:b/>
          <w:sz w:val="20"/>
          <w:szCs w:val="20"/>
          <w:lang w:val="en-IE"/>
        </w:rPr>
      </w:pPr>
      <w:r w:rsidRPr="00CF5651">
        <w:rPr>
          <w:b/>
          <w:sz w:val="20"/>
          <w:szCs w:val="20"/>
          <w:lang w:val="en-IE"/>
        </w:rPr>
        <w:t>Cockle biomass (</w:t>
      </w:r>
      <w:r w:rsidR="00117963">
        <w:rPr>
          <w:b/>
          <w:sz w:val="20"/>
          <w:szCs w:val="20"/>
          <w:lang w:val="en-IE"/>
        </w:rPr>
        <w:t>July 2019</w:t>
      </w:r>
      <w:r w:rsidRPr="00CF5651">
        <w:rPr>
          <w:b/>
          <w:sz w:val="20"/>
          <w:szCs w:val="20"/>
          <w:lang w:val="en-IE"/>
        </w:rPr>
        <w:t>)</w:t>
      </w:r>
    </w:p>
    <w:p w:rsidR="00480433" w:rsidRPr="00CF5651" w:rsidRDefault="00480433" w:rsidP="00480433">
      <w:pPr>
        <w:jc w:val="both"/>
        <w:rPr>
          <w:sz w:val="20"/>
          <w:szCs w:val="20"/>
        </w:rPr>
      </w:pPr>
      <w:r w:rsidRPr="00CF5651">
        <w:rPr>
          <w:sz w:val="20"/>
          <w:szCs w:val="20"/>
        </w:rPr>
        <w:t>The 201</w:t>
      </w:r>
      <w:r w:rsidR="007D48F4">
        <w:rPr>
          <w:sz w:val="20"/>
          <w:szCs w:val="20"/>
        </w:rPr>
        <w:t>9</w:t>
      </w:r>
      <w:r w:rsidRPr="00CF5651">
        <w:rPr>
          <w:sz w:val="20"/>
          <w:szCs w:val="20"/>
        </w:rPr>
        <w:t xml:space="preserve"> cockle and benthic survey in Dundalk Bay was undertaken between </w:t>
      </w:r>
      <w:r w:rsidR="000A71E8">
        <w:rPr>
          <w:sz w:val="20"/>
          <w:szCs w:val="20"/>
        </w:rPr>
        <w:t>Ju</w:t>
      </w:r>
      <w:r w:rsidR="007D48F4">
        <w:rPr>
          <w:sz w:val="20"/>
          <w:szCs w:val="20"/>
        </w:rPr>
        <w:t>ly</w:t>
      </w:r>
      <w:r w:rsidRPr="00CF5651">
        <w:rPr>
          <w:sz w:val="20"/>
          <w:szCs w:val="20"/>
        </w:rPr>
        <w:t xml:space="preserve"> </w:t>
      </w:r>
      <w:r w:rsidR="007D48F4">
        <w:rPr>
          <w:sz w:val="20"/>
          <w:szCs w:val="20"/>
        </w:rPr>
        <w:t>1</w:t>
      </w:r>
      <w:r w:rsidR="007D48F4" w:rsidRPr="007D48F4">
        <w:rPr>
          <w:sz w:val="20"/>
          <w:szCs w:val="20"/>
          <w:vertAlign w:val="superscript"/>
        </w:rPr>
        <w:t>st</w:t>
      </w:r>
      <w:r w:rsidR="007D48F4">
        <w:rPr>
          <w:sz w:val="20"/>
          <w:szCs w:val="20"/>
        </w:rPr>
        <w:t xml:space="preserve"> </w:t>
      </w:r>
      <w:r w:rsidR="00556709" w:rsidRPr="00CF5651">
        <w:rPr>
          <w:sz w:val="20"/>
          <w:szCs w:val="20"/>
        </w:rPr>
        <w:t xml:space="preserve">and </w:t>
      </w:r>
      <w:r w:rsidR="007D48F4">
        <w:rPr>
          <w:sz w:val="20"/>
          <w:szCs w:val="20"/>
        </w:rPr>
        <w:t>6</w:t>
      </w:r>
      <w:r w:rsidR="007D48F4" w:rsidRPr="007D48F4">
        <w:rPr>
          <w:sz w:val="20"/>
          <w:szCs w:val="20"/>
          <w:vertAlign w:val="superscript"/>
        </w:rPr>
        <w:t>th</w:t>
      </w:r>
      <w:r w:rsidR="00D046C6" w:rsidRPr="00CF5651">
        <w:rPr>
          <w:sz w:val="20"/>
          <w:szCs w:val="20"/>
        </w:rPr>
        <w:t xml:space="preserve"> </w:t>
      </w:r>
      <w:r w:rsidRPr="00CF5651">
        <w:rPr>
          <w:sz w:val="20"/>
          <w:szCs w:val="20"/>
        </w:rPr>
        <w:t xml:space="preserve">over an </w:t>
      </w:r>
      <w:r w:rsidR="0097014B" w:rsidRPr="00CF5651">
        <w:rPr>
          <w:sz w:val="20"/>
          <w:szCs w:val="20"/>
        </w:rPr>
        <w:t>approximate area of</w:t>
      </w:r>
      <w:r w:rsidRPr="00CF5651">
        <w:rPr>
          <w:sz w:val="20"/>
          <w:szCs w:val="20"/>
        </w:rPr>
        <w:t xml:space="preserve"> </w:t>
      </w:r>
      <w:r w:rsidR="007D48F4">
        <w:rPr>
          <w:sz w:val="20"/>
          <w:szCs w:val="20"/>
        </w:rPr>
        <w:t>31.9</w:t>
      </w:r>
      <w:r w:rsidRPr="00CF5651">
        <w:rPr>
          <w:sz w:val="20"/>
          <w:szCs w:val="20"/>
        </w:rPr>
        <w:t>km</w:t>
      </w:r>
      <w:r w:rsidRPr="00CF5651">
        <w:rPr>
          <w:sz w:val="20"/>
          <w:szCs w:val="20"/>
          <w:vertAlign w:val="superscript"/>
        </w:rPr>
        <w:t>2</w:t>
      </w:r>
      <w:r w:rsidRPr="00CF5651">
        <w:rPr>
          <w:sz w:val="20"/>
          <w:szCs w:val="20"/>
        </w:rPr>
        <w:t xml:space="preserve">. </w:t>
      </w:r>
      <w:r w:rsidR="00D046C6" w:rsidRPr="00CF5651">
        <w:rPr>
          <w:sz w:val="20"/>
          <w:szCs w:val="20"/>
        </w:rPr>
        <w:t xml:space="preserve">A total of </w:t>
      </w:r>
      <w:r w:rsidR="00837720" w:rsidRPr="00CF5651">
        <w:rPr>
          <w:sz w:val="20"/>
          <w:szCs w:val="20"/>
        </w:rPr>
        <w:t>3</w:t>
      </w:r>
      <w:r w:rsidR="007D48F4">
        <w:rPr>
          <w:sz w:val="20"/>
          <w:szCs w:val="20"/>
        </w:rPr>
        <w:t>79</w:t>
      </w:r>
      <w:r w:rsidR="00D046C6" w:rsidRPr="00CF5651">
        <w:rPr>
          <w:sz w:val="20"/>
          <w:szCs w:val="20"/>
        </w:rPr>
        <w:t xml:space="preserve"> stations were sampled. </w:t>
      </w:r>
      <w:r w:rsidRPr="00CF5651">
        <w:rPr>
          <w:sz w:val="20"/>
          <w:szCs w:val="20"/>
        </w:rPr>
        <w:t>The age structure o</w:t>
      </w:r>
      <w:r w:rsidR="00D046C6" w:rsidRPr="00CF5651">
        <w:rPr>
          <w:sz w:val="20"/>
          <w:szCs w:val="20"/>
        </w:rPr>
        <w:t xml:space="preserve">f the stock was dominated by </w:t>
      </w:r>
      <w:r w:rsidR="007D48F4">
        <w:rPr>
          <w:sz w:val="20"/>
          <w:szCs w:val="20"/>
        </w:rPr>
        <w:t>1</w:t>
      </w:r>
      <w:r w:rsidR="002969A4" w:rsidRPr="00CF5651">
        <w:rPr>
          <w:sz w:val="20"/>
          <w:szCs w:val="20"/>
        </w:rPr>
        <w:t xml:space="preserve">+ </w:t>
      </w:r>
      <w:r w:rsidR="00CF5651" w:rsidRPr="00CF5651">
        <w:rPr>
          <w:sz w:val="20"/>
          <w:szCs w:val="20"/>
        </w:rPr>
        <w:t>(</w:t>
      </w:r>
      <w:r w:rsidR="00CB79EF">
        <w:rPr>
          <w:sz w:val="20"/>
          <w:szCs w:val="20"/>
        </w:rPr>
        <w:t>75</w:t>
      </w:r>
      <w:r w:rsidR="00CF5651" w:rsidRPr="00CF5651">
        <w:rPr>
          <w:sz w:val="20"/>
          <w:szCs w:val="20"/>
        </w:rPr>
        <w:t xml:space="preserve">%) </w:t>
      </w:r>
      <w:r w:rsidR="00CB79EF">
        <w:rPr>
          <w:sz w:val="20"/>
          <w:szCs w:val="20"/>
        </w:rPr>
        <w:t>with</w:t>
      </w:r>
      <w:r w:rsidR="002969A4" w:rsidRPr="00CF5651">
        <w:rPr>
          <w:sz w:val="20"/>
          <w:szCs w:val="20"/>
        </w:rPr>
        <w:t xml:space="preserve"> </w:t>
      </w:r>
      <w:r w:rsidR="00CB79EF">
        <w:rPr>
          <w:sz w:val="20"/>
          <w:szCs w:val="20"/>
        </w:rPr>
        <w:t>0</w:t>
      </w:r>
      <w:r w:rsidR="00D046C6" w:rsidRPr="00CF5651">
        <w:rPr>
          <w:sz w:val="20"/>
          <w:szCs w:val="20"/>
        </w:rPr>
        <w:t>+</w:t>
      </w:r>
      <w:r w:rsidR="002969A4" w:rsidRPr="00CF5651">
        <w:rPr>
          <w:sz w:val="20"/>
          <w:szCs w:val="20"/>
        </w:rPr>
        <w:t xml:space="preserve"> </w:t>
      </w:r>
      <w:r w:rsidR="000A71E8">
        <w:rPr>
          <w:sz w:val="20"/>
          <w:szCs w:val="20"/>
        </w:rPr>
        <w:t xml:space="preserve">and 2+ </w:t>
      </w:r>
      <w:r w:rsidR="00CB79EF">
        <w:rPr>
          <w:sz w:val="20"/>
          <w:szCs w:val="20"/>
        </w:rPr>
        <w:t>making up 14% and 7% of the</w:t>
      </w:r>
      <w:r w:rsidR="00CF5651" w:rsidRPr="00CF5651">
        <w:rPr>
          <w:sz w:val="20"/>
          <w:szCs w:val="20"/>
        </w:rPr>
        <w:t xml:space="preserve"> </w:t>
      </w:r>
      <w:r w:rsidR="002969A4" w:rsidRPr="00CF5651">
        <w:rPr>
          <w:sz w:val="20"/>
          <w:szCs w:val="20"/>
        </w:rPr>
        <w:t>cockles</w:t>
      </w:r>
      <w:r w:rsidR="00CB79EF">
        <w:rPr>
          <w:sz w:val="20"/>
          <w:szCs w:val="20"/>
        </w:rPr>
        <w:t xml:space="preserve"> sampled, respectively</w:t>
      </w:r>
      <w:r w:rsidR="00CF5651" w:rsidRPr="00CF5651">
        <w:rPr>
          <w:sz w:val="20"/>
          <w:szCs w:val="20"/>
        </w:rPr>
        <w:t>.</w:t>
      </w:r>
    </w:p>
    <w:p w:rsidR="00DE3CD7" w:rsidRPr="00CF5651" w:rsidRDefault="00DE3CD7" w:rsidP="00480433">
      <w:pPr>
        <w:jc w:val="both"/>
        <w:rPr>
          <w:sz w:val="20"/>
          <w:szCs w:val="20"/>
        </w:rPr>
      </w:pPr>
    </w:p>
    <w:p w:rsidR="00D046C6" w:rsidRPr="00CF5651" w:rsidRDefault="00CF0D99" w:rsidP="00D046C6">
      <w:pPr>
        <w:jc w:val="both"/>
        <w:rPr>
          <w:sz w:val="20"/>
          <w:szCs w:val="20"/>
          <w:u w:val="single"/>
          <w:lang w:val="en-IE"/>
        </w:rPr>
      </w:pPr>
      <w:r>
        <w:rPr>
          <w:sz w:val="20"/>
          <w:szCs w:val="20"/>
          <w:lang w:val="en-IE"/>
        </w:rPr>
        <w:t xml:space="preserve">The total biomass </w:t>
      </w:r>
      <w:r w:rsidR="00D046C6" w:rsidRPr="00CF5651">
        <w:rPr>
          <w:sz w:val="20"/>
          <w:szCs w:val="20"/>
          <w:lang w:val="en-IE"/>
        </w:rPr>
        <w:t xml:space="preserve">of cockles in the sampling domain was </w:t>
      </w:r>
      <w:r w:rsidR="00C715D1">
        <w:rPr>
          <w:sz w:val="20"/>
          <w:szCs w:val="20"/>
        </w:rPr>
        <w:t>3,789</w:t>
      </w:r>
      <w:r w:rsidR="00CB79EF">
        <w:rPr>
          <w:sz w:val="20"/>
          <w:szCs w:val="20"/>
        </w:rPr>
        <w:t xml:space="preserve"> </w:t>
      </w:r>
      <w:r w:rsidR="000A71E8" w:rsidRPr="00CF5651">
        <w:rPr>
          <w:sz w:val="20"/>
          <w:szCs w:val="20"/>
        </w:rPr>
        <w:t>tonnes</w:t>
      </w:r>
      <w:r w:rsidR="00D046C6" w:rsidRPr="00CF5651">
        <w:rPr>
          <w:sz w:val="20"/>
          <w:szCs w:val="20"/>
          <w:lang w:val="en-IE"/>
        </w:rPr>
        <w:t xml:space="preserve">. </w:t>
      </w:r>
      <w:r w:rsidR="00507F53">
        <w:rPr>
          <w:sz w:val="20"/>
          <w:szCs w:val="20"/>
          <w:lang w:val="en-IE"/>
        </w:rPr>
        <w:t xml:space="preserve">This is </w:t>
      </w:r>
      <w:r w:rsidR="004224C3">
        <w:rPr>
          <w:sz w:val="20"/>
          <w:szCs w:val="20"/>
          <w:lang w:val="en-IE"/>
        </w:rPr>
        <w:t xml:space="preserve">the highest estimate </w:t>
      </w:r>
      <w:r w:rsidR="005B35EE">
        <w:rPr>
          <w:sz w:val="20"/>
          <w:szCs w:val="20"/>
          <w:lang w:val="en-IE"/>
        </w:rPr>
        <w:t>on record</w:t>
      </w:r>
      <w:r w:rsidR="004224C3">
        <w:rPr>
          <w:sz w:val="20"/>
          <w:szCs w:val="20"/>
          <w:lang w:val="en-IE"/>
        </w:rPr>
        <w:t xml:space="preserve"> (</w:t>
      </w:r>
      <w:r w:rsidR="005B35EE">
        <w:rPr>
          <w:sz w:val="20"/>
          <w:szCs w:val="20"/>
          <w:lang w:val="en-IE"/>
        </w:rPr>
        <w:t>2008=</w:t>
      </w:r>
      <w:r w:rsidR="004224C3">
        <w:rPr>
          <w:sz w:val="20"/>
          <w:szCs w:val="20"/>
          <w:lang w:val="en-IE"/>
        </w:rPr>
        <w:t>3,588 tonnes)</w:t>
      </w:r>
      <w:r w:rsidR="00507F53">
        <w:rPr>
          <w:sz w:val="20"/>
          <w:szCs w:val="20"/>
          <w:lang w:val="en-IE"/>
        </w:rPr>
        <w:t xml:space="preserve">. </w:t>
      </w:r>
      <w:r w:rsidR="00E9258C" w:rsidRPr="00CF5651">
        <w:rPr>
          <w:sz w:val="20"/>
          <w:szCs w:val="20"/>
          <w:lang w:val="en-IE"/>
        </w:rPr>
        <w:t>The biomass over 22</w:t>
      </w:r>
      <w:r w:rsidR="0097014B" w:rsidRPr="00CF5651">
        <w:rPr>
          <w:sz w:val="20"/>
          <w:szCs w:val="20"/>
          <w:lang w:val="en-IE"/>
        </w:rPr>
        <w:t xml:space="preserve"> </w:t>
      </w:r>
      <w:r w:rsidR="00E9258C" w:rsidRPr="00CF5651">
        <w:rPr>
          <w:sz w:val="20"/>
          <w:szCs w:val="20"/>
          <w:lang w:val="en-IE"/>
        </w:rPr>
        <w:t xml:space="preserve">mm was </w:t>
      </w:r>
      <w:r w:rsidR="00C715D1">
        <w:rPr>
          <w:sz w:val="20"/>
          <w:szCs w:val="20"/>
          <w:lang w:val="en-IE"/>
        </w:rPr>
        <w:t>1,162</w:t>
      </w:r>
      <w:r w:rsidR="002969A4" w:rsidRPr="00CF5651">
        <w:rPr>
          <w:sz w:val="20"/>
          <w:szCs w:val="20"/>
          <w:lang w:val="en-IE"/>
        </w:rPr>
        <w:t xml:space="preserve"> tonnes</w:t>
      </w:r>
      <w:r w:rsidR="00E9258C" w:rsidRPr="00CF5651">
        <w:rPr>
          <w:sz w:val="20"/>
          <w:szCs w:val="20"/>
          <w:lang w:val="en-IE"/>
        </w:rPr>
        <w:t>.</w:t>
      </w:r>
      <w:r w:rsidR="002969A4" w:rsidRPr="00CF5651">
        <w:rPr>
          <w:sz w:val="20"/>
          <w:szCs w:val="20"/>
          <w:lang w:val="en-IE"/>
        </w:rPr>
        <w:t xml:space="preserve"> </w:t>
      </w:r>
    </w:p>
    <w:p w:rsidR="00480433" w:rsidRDefault="00480433" w:rsidP="00480433">
      <w:pPr>
        <w:jc w:val="both"/>
        <w:rPr>
          <w:sz w:val="22"/>
          <w:szCs w:val="22"/>
        </w:rPr>
      </w:pPr>
    </w:p>
    <w:p w:rsidR="00480433" w:rsidRPr="00CF5651" w:rsidRDefault="00480433" w:rsidP="002A4E69">
      <w:pPr>
        <w:jc w:val="both"/>
        <w:rPr>
          <w:sz w:val="18"/>
          <w:szCs w:val="22"/>
        </w:rPr>
      </w:pPr>
      <w:r w:rsidRPr="00CF5651">
        <w:rPr>
          <w:sz w:val="18"/>
          <w:szCs w:val="22"/>
        </w:rPr>
        <w:t xml:space="preserve">Table 1. Annual biomass </w:t>
      </w:r>
      <w:r w:rsidR="002A4E69" w:rsidRPr="00CF5651">
        <w:rPr>
          <w:sz w:val="18"/>
          <w:szCs w:val="22"/>
        </w:rPr>
        <w:t>and landings of</w:t>
      </w:r>
      <w:r w:rsidR="0076332C" w:rsidRPr="00CF5651">
        <w:rPr>
          <w:sz w:val="18"/>
          <w:szCs w:val="22"/>
        </w:rPr>
        <w:t xml:space="preserve"> cockle in Dund</w:t>
      </w:r>
      <w:r w:rsidR="00913A53">
        <w:rPr>
          <w:sz w:val="18"/>
          <w:szCs w:val="22"/>
        </w:rPr>
        <w:t>alk Bay 2007-2019</w:t>
      </w:r>
      <w:bookmarkStart w:id="0" w:name="_GoBack"/>
      <w:bookmarkEnd w:id="0"/>
    </w:p>
    <w:tbl>
      <w:tblPr>
        <w:tblpPr w:leftFromText="180" w:rightFromText="180" w:vertAnchor="text" w:horzAnchor="margin" w:tblpX="100" w:tblpY="73"/>
        <w:tblW w:w="7859" w:type="dxa"/>
        <w:tblLayout w:type="fixed"/>
        <w:tblLook w:val="0000"/>
      </w:tblPr>
      <w:tblGrid>
        <w:gridCol w:w="1082"/>
        <w:gridCol w:w="1011"/>
        <w:gridCol w:w="1069"/>
        <w:gridCol w:w="952"/>
        <w:gridCol w:w="1281"/>
        <w:gridCol w:w="1232"/>
        <w:gridCol w:w="1232"/>
      </w:tblGrid>
      <w:tr w:rsidR="002A4E69" w:rsidRPr="00CF5651" w:rsidTr="00CF0D99">
        <w:trPr>
          <w:trHeight w:val="247"/>
        </w:trPr>
        <w:tc>
          <w:tcPr>
            <w:tcW w:w="1082" w:type="dxa"/>
            <w:vMerge w:val="restart"/>
            <w:tcBorders>
              <w:top w:val="single" w:sz="6" w:space="0" w:color="auto"/>
              <w:left w:val="single" w:sz="6" w:space="0" w:color="auto"/>
              <w:bottom w:val="single" w:sz="6" w:space="0" w:color="auto"/>
              <w:right w:val="single" w:sz="6" w:space="0" w:color="auto"/>
            </w:tcBorders>
            <w:shd w:val="pct15" w:color="auto" w:fill="auto"/>
            <w:vAlign w:val="center"/>
          </w:tcPr>
          <w:p w:rsidR="002A4E69" w:rsidRPr="00CF5651" w:rsidRDefault="002A4E69" w:rsidP="00CF0D99">
            <w:pPr>
              <w:autoSpaceDE w:val="0"/>
              <w:autoSpaceDN w:val="0"/>
              <w:adjustRightInd w:val="0"/>
              <w:rPr>
                <w:rFonts w:ascii="Calibri" w:hAnsi="Calibri"/>
                <w:b/>
                <w:bCs/>
                <w:color w:val="000000"/>
                <w:sz w:val="18"/>
                <w:szCs w:val="18"/>
              </w:rPr>
            </w:pPr>
            <w:r w:rsidRPr="00CF5651">
              <w:rPr>
                <w:rFonts w:ascii="Calibri" w:hAnsi="Calibri"/>
                <w:b/>
                <w:bCs/>
                <w:color w:val="000000"/>
                <w:sz w:val="18"/>
                <w:szCs w:val="18"/>
              </w:rPr>
              <w:t>Year</w:t>
            </w:r>
          </w:p>
        </w:tc>
        <w:tc>
          <w:tcPr>
            <w:tcW w:w="1011" w:type="dxa"/>
            <w:vMerge w:val="restart"/>
            <w:tcBorders>
              <w:top w:val="single" w:sz="6" w:space="0" w:color="auto"/>
              <w:left w:val="single" w:sz="6" w:space="0" w:color="auto"/>
              <w:bottom w:val="single" w:sz="6" w:space="0" w:color="auto"/>
              <w:right w:val="single" w:sz="6" w:space="0" w:color="auto"/>
            </w:tcBorders>
            <w:shd w:val="pct15" w:color="auto" w:fill="auto"/>
            <w:vAlign w:val="center"/>
          </w:tcPr>
          <w:p w:rsidR="002A4E69" w:rsidRPr="00CF5651" w:rsidRDefault="002A4E69" w:rsidP="00CF0D99">
            <w:pPr>
              <w:autoSpaceDE w:val="0"/>
              <w:autoSpaceDN w:val="0"/>
              <w:adjustRightInd w:val="0"/>
              <w:rPr>
                <w:rFonts w:ascii="Calibri" w:hAnsi="Calibri"/>
                <w:b/>
                <w:bCs/>
                <w:color w:val="000000"/>
                <w:sz w:val="18"/>
                <w:szCs w:val="18"/>
              </w:rPr>
            </w:pPr>
            <w:r w:rsidRPr="00CF5651">
              <w:rPr>
                <w:rFonts w:ascii="Calibri" w:hAnsi="Calibri"/>
                <w:b/>
                <w:bCs/>
                <w:color w:val="000000"/>
                <w:sz w:val="18"/>
                <w:szCs w:val="18"/>
              </w:rPr>
              <w:t>Survey Month</w:t>
            </w:r>
          </w:p>
        </w:tc>
        <w:tc>
          <w:tcPr>
            <w:tcW w:w="2021" w:type="dxa"/>
            <w:gridSpan w:val="2"/>
            <w:tcBorders>
              <w:top w:val="single" w:sz="6" w:space="0" w:color="auto"/>
              <w:left w:val="single" w:sz="6" w:space="0" w:color="auto"/>
              <w:bottom w:val="single" w:sz="6" w:space="0" w:color="auto"/>
              <w:right w:val="single" w:sz="6" w:space="0" w:color="auto"/>
            </w:tcBorders>
            <w:shd w:val="pct15" w:color="auto" w:fill="auto"/>
            <w:vAlign w:val="center"/>
          </w:tcPr>
          <w:p w:rsidR="002A4E69" w:rsidRPr="00CF5651" w:rsidRDefault="002A4E69" w:rsidP="00CF0D99">
            <w:pPr>
              <w:autoSpaceDE w:val="0"/>
              <w:autoSpaceDN w:val="0"/>
              <w:adjustRightInd w:val="0"/>
              <w:jc w:val="center"/>
              <w:rPr>
                <w:rFonts w:ascii="Calibri" w:hAnsi="Calibri"/>
                <w:b/>
                <w:bCs/>
                <w:color w:val="000000"/>
                <w:sz w:val="18"/>
                <w:szCs w:val="18"/>
              </w:rPr>
            </w:pPr>
            <w:r w:rsidRPr="00CF5651">
              <w:rPr>
                <w:rFonts w:ascii="Calibri" w:hAnsi="Calibri"/>
                <w:b/>
                <w:bCs/>
                <w:color w:val="000000"/>
                <w:sz w:val="18"/>
                <w:szCs w:val="18"/>
              </w:rPr>
              <w:t>Biomass</w:t>
            </w:r>
          </w:p>
        </w:tc>
        <w:tc>
          <w:tcPr>
            <w:tcW w:w="1281" w:type="dxa"/>
            <w:vMerge w:val="restart"/>
            <w:tcBorders>
              <w:top w:val="single" w:sz="6" w:space="0" w:color="auto"/>
              <w:left w:val="single" w:sz="6" w:space="0" w:color="auto"/>
              <w:bottom w:val="single" w:sz="6" w:space="0" w:color="auto"/>
              <w:right w:val="single" w:sz="6" w:space="0" w:color="auto"/>
            </w:tcBorders>
            <w:shd w:val="pct15" w:color="auto" w:fill="auto"/>
            <w:vAlign w:val="center"/>
          </w:tcPr>
          <w:p w:rsidR="002A4E69" w:rsidRPr="00CF5651" w:rsidRDefault="002A4E69" w:rsidP="00CF0D99">
            <w:pPr>
              <w:autoSpaceDE w:val="0"/>
              <w:autoSpaceDN w:val="0"/>
              <w:adjustRightInd w:val="0"/>
              <w:jc w:val="center"/>
              <w:rPr>
                <w:rFonts w:ascii="Calibri" w:hAnsi="Calibri"/>
                <w:b/>
                <w:bCs/>
                <w:color w:val="000000"/>
                <w:sz w:val="18"/>
                <w:szCs w:val="18"/>
              </w:rPr>
            </w:pPr>
            <w:r w:rsidRPr="00CF5651">
              <w:rPr>
                <w:rFonts w:ascii="Calibri" w:hAnsi="Calibri"/>
                <w:b/>
                <w:bCs/>
                <w:color w:val="000000"/>
                <w:sz w:val="18"/>
                <w:szCs w:val="18"/>
              </w:rPr>
              <w:t>TAC (tonnes)</w:t>
            </w:r>
          </w:p>
        </w:tc>
        <w:tc>
          <w:tcPr>
            <w:tcW w:w="2464" w:type="dxa"/>
            <w:gridSpan w:val="2"/>
            <w:tcBorders>
              <w:top w:val="single" w:sz="6" w:space="0" w:color="auto"/>
              <w:left w:val="single" w:sz="6" w:space="0" w:color="auto"/>
              <w:bottom w:val="single" w:sz="6" w:space="0" w:color="auto"/>
              <w:right w:val="single" w:sz="6" w:space="0" w:color="auto"/>
            </w:tcBorders>
            <w:shd w:val="pct15" w:color="auto" w:fill="auto"/>
            <w:vAlign w:val="center"/>
          </w:tcPr>
          <w:p w:rsidR="002A4E69" w:rsidRPr="00CF5651" w:rsidRDefault="002A4E69" w:rsidP="00CF0D99">
            <w:pPr>
              <w:autoSpaceDE w:val="0"/>
              <w:autoSpaceDN w:val="0"/>
              <w:adjustRightInd w:val="0"/>
              <w:jc w:val="center"/>
              <w:rPr>
                <w:rFonts w:ascii="Calibri" w:hAnsi="Calibri"/>
                <w:b/>
                <w:bCs/>
                <w:color w:val="000000"/>
                <w:sz w:val="18"/>
                <w:szCs w:val="18"/>
              </w:rPr>
            </w:pPr>
            <w:r w:rsidRPr="00CF5651">
              <w:rPr>
                <w:rFonts w:ascii="Calibri" w:hAnsi="Calibri"/>
                <w:b/>
                <w:bCs/>
                <w:color w:val="000000"/>
                <w:sz w:val="18"/>
                <w:szCs w:val="18"/>
              </w:rPr>
              <w:t>Landings</w:t>
            </w:r>
          </w:p>
        </w:tc>
      </w:tr>
      <w:tr w:rsidR="002A4E69" w:rsidRPr="00CF5651" w:rsidTr="00CF0D99">
        <w:trPr>
          <w:trHeight w:val="247"/>
        </w:trPr>
        <w:tc>
          <w:tcPr>
            <w:tcW w:w="1082" w:type="dxa"/>
            <w:vMerge/>
            <w:tcBorders>
              <w:top w:val="single" w:sz="6" w:space="0" w:color="auto"/>
              <w:left w:val="single" w:sz="6" w:space="0" w:color="auto"/>
              <w:bottom w:val="single" w:sz="6" w:space="0" w:color="auto"/>
              <w:right w:val="single" w:sz="6" w:space="0" w:color="auto"/>
            </w:tcBorders>
            <w:shd w:val="pct15" w:color="auto" w:fill="auto"/>
            <w:vAlign w:val="center"/>
          </w:tcPr>
          <w:p w:rsidR="002A4E69" w:rsidRPr="00CF5651" w:rsidRDefault="002A4E69" w:rsidP="00CF0D99">
            <w:pPr>
              <w:autoSpaceDE w:val="0"/>
              <w:autoSpaceDN w:val="0"/>
              <w:adjustRightInd w:val="0"/>
              <w:rPr>
                <w:rFonts w:ascii="Calibri" w:hAnsi="Calibri"/>
                <w:b/>
                <w:bCs/>
                <w:color w:val="000000"/>
                <w:sz w:val="18"/>
                <w:szCs w:val="18"/>
              </w:rPr>
            </w:pPr>
          </w:p>
        </w:tc>
        <w:tc>
          <w:tcPr>
            <w:tcW w:w="1011" w:type="dxa"/>
            <w:vMerge/>
            <w:tcBorders>
              <w:top w:val="single" w:sz="6" w:space="0" w:color="auto"/>
              <w:left w:val="single" w:sz="6" w:space="0" w:color="auto"/>
              <w:bottom w:val="single" w:sz="6" w:space="0" w:color="auto"/>
              <w:right w:val="single" w:sz="6" w:space="0" w:color="auto"/>
            </w:tcBorders>
            <w:shd w:val="pct15" w:color="auto" w:fill="auto"/>
            <w:vAlign w:val="center"/>
          </w:tcPr>
          <w:p w:rsidR="002A4E69" w:rsidRPr="00CF5651" w:rsidRDefault="002A4E69" w:rsidP="00CF0D99">
            <w:pPr>
              <w:autoSpaceDE w:val="0"/>
              <w:autoSpaceDN w:val="0"/>
              <w:adjustRightInd w:val="0"/>
              <w:rPr>
                <w:rFonts w:ascii="Calibri" w:hAnsi="Calibri"/>
                <w:b/>
                <w:bCs/>
                <w:color w:val="000000"/>
                <w:sz w:val="18"/>
                <w:szCs w:val="18"/>
              </w:rPr>
            </w:pPr>
          </w:p>
        </w:tc>
        <w:tc>
          <w:tcPr>
            <w:tcW w:w="1069" w:type="dxa"/>
            <w:tcBorders>
              <w:top w:val="single" w:sz="6" w:space="0" w:color="auto"/>
              <w:left w:val="single" w:sz="6" w:space="0" w:color="auto"/>
              <w:bottom w:val="single" w:sz="6" w:space="0" w:color="auto"/>
              <w:right w:val="single" w:sz="6" w:space="0" w:color="auto"/>
            </w:tcBorders>
            <w:shd w:val="pct15" w:color="auto" w:fill="auto"/>
            <w:vAlign w:val="center"/>
          </w:tcPr>
          <w:p w:rsidR="002A4E69" w:rsidRPr="00CF5651" w:rsidRDefault="002A4E69" w:rsidP="00CF0D99">
            <w:pPr>
              <w:autoSpaceDE w:val="0"/>
              <w:autoSpaceDN w:val="0"/>
              <w:adjustRightInd w:val="0"/>
              <w:jc w:val="center"/>
              <w:rPr>
                <w:rFonts w:ascii="Calibri" w:hAnsi="Calibri"/>
                <w:b/>
                <w:bCs/>
                <w:color w:val="000000"/>
                <w:sz w:val="18"/>
                <w:szCs w:val="18"/>
              </w:rPr>
            </w:pPr>
            <w:r w:rsidRPr="00CF5651">
              <w:rPr>
                <w:rFonts w:ascii="Calibri" w:hAnsi="Calibri"/>
                <w:b/>
                <w:bCs/>
                <w:color w:val="000000"/>
                <w:sz w:val="18"/>
                <w:szCs w:val="18"/>
              </w:rPr>
              <w:t>Mean</w:t>
            </w:r>
          </w:p>
        </w:tc>
        <w:tc>
          <w:tcPr>
            <w:tcW w:w="952" w:type="dxa"/>
            <w:tcBorders>
              <w:top w:val="single" w:sz="6" w:space="0" w:color="auto"/>
              <w:left w:val="single" w:sz="6" w:space="0" w:color="auto"/>
              <w:bottom w:val="single" w:sz="6" w:space="0" w:color="auto"/>
              <w:right w:val="single" w:sz="6" w:space="0" w:color="auto"/>
            </w:tcBorders>
            <w:shd w:val="pct15" w:color="auto" w:fill="auto"/>
            <w:vAlign w:val="center"/>
          </w:tcPr>
          <w:p w:rsidR="002A4E69" w:rsidRPr="00CF5651" w:rsidRDefault="002A4E69" w:rsidP="00CF0D99">
            <w:pPr>
              <w:autoSpaceDE w:val="0"/>
              <w:autoSpaceDN w:val="0"/>
              <w:adjustRightInd w:val="0"/>
              <w:jc w:val="center"/>
              <w:rPr>
                <w:rFonts w:ascii="Calibri" w:hAnsi="Calibri"/>
                <w:b/>
                <w:bCs/>
                <w:color w:val="000000"/>
                <w:sz w:val="18"/>
                <w:szCs w:val="18"/>
              </w:rPr>
            </w:pPr>
            <w:r w:rsidRPr="00CF5651">
              <w:rPr>
                <w:rFonts w:ascii="Calibri" w:hAnsi="Calibri"/>
                <w:b/>
                <w:bCs/>
                <w:color w:val="000000"/>
                <w:sz w:val="18"/>
                <w:szCs w:val="18"/>
              </w:rPr>
              <w:t>95% CL</w:t>
            </w:r>
          </w:p>
        </w:tc>
        <w:tc>
          <w:tcPr>
            <w:tcW w:w="1281" w:type="dxa"/>
            <w:vMerge/>
            <w:tcBorders>
              <w:top w:val="single" w:sz="6" w:space="0" w:color="auto"/>
              <w:left w:val="single" w:sz="6" w:space="0" w:color="auto"/>
              <w:bottom w:val="single" w:sz="6" w:space="0" w:color="auto"/>
              <w:right w:val="single" w:sz="6" w:space="0" w:color="auto"/>
            </w:tcBorders>
            <w:shd w:val="pct15" w:color="auto" w:fill="auto"/>
            <w:vAlign w:val="center"/>
          </w:tcPr>
          <w:p w:rsidR="002A4E69" w:rsidRPr="00CF5651" w:rsidRDefault="002A4E69" w:rsidP="00CF0D99">
            <w:pPr>
              <w:autoSpaceDE w:val="0"/>
              <w:autoSpaceDN w:val="0"/>
              <w:adjustRightInd w:val="0"/>
              <w:jc w:val="center"/>
              <w:rPr>
                <w:rFonts w:ascii="Calibri" w:hAnsi="Calibri"/>
                <w:b/>
                <w:bCs/>
                <w:color w:val="000000"/>
                <w:sz w:val="18"/>
                <w:szCs w:val="18"/>
              </w:rPr>
            </w:pPr>
          </w:p>
        </w:tc>
        <w:tc>
          <w:tcPr>
            <w:tcW w:w="1232" w:type="dxa"/>
            <w:tcBorders>
              <w:top w:val="single" w:sz="6" w:space="0" w:color="auto"/>
              <w:left w:val="single" w:sz="6" w:space="0" w:color="auto"/>
              <w:bottom w:val="single" w:sz="6" w:space="0" w:color="auto"/>
              <w:right w:val="single" w:sz="6" w:space="0" w:color="auto"/>
            </w:tcBorders>
            <w:shd w:val="pct15" w:color="auto" w:fill="auto"/>
            <w:vAlign w:val="center"/>
          </w:tcPr>
          <w:p w:rsidR="002A4E69" w:rsidRPr="00CF5651" w:rsidRDefault="002A4E69" w:rsidP="00CF0D99">
            <w:pPr>
              <w:autoSpaceDE w:val="0"/>
              <w:autoSpaceDN w:val="0"/>
              <w:adjustRightInd w:val="0"/>
              <w:jc w:val="center"/>
              <w:rPr>
                <w:rFonts w:ascii="Calibri" w:hAnsi="Calibri"/>
                <w:b/>
                <w:bCs/>
                <w:color w:val="000000"/>
                <w:sz w:val="18"/>
                <w:szCs w:val="18"/>
              </w:rPr>
            </w:pPr>
            <w:r w:rsidRPr="00CF5651">
              <w:rPr>
                <w:rFonts w:ascii="Calibri" w:hAnsi="Calibri"/>
                <w:b/>
                <w:bCs/>
                <w:color w:val="000000"/>
                <w:sz w:val="18"/>
                <w:szCs w:val="18"/>
              </w:rPr>
              <w:t>Vessels</w:t>
            </w:r>
          </w:p>
        </w:tc>
        <w:tc>
          <w:tcPr>
            <w:tcW w:w="1232" w:type="dxa"/>
            <w:tcBorders>
              <w:top w:val="single" w:sz="6" w:space="0" w:color="auto"/>
              <w:left w:val="single" w:sz="6" w:space="0" w:color="auto"/>
              <w:bottom w:val="single" w:sz="6" w:space="0" w:color="auto"/>
              <w:right w:val="single" w:sz="6" w:space="0" w:color="auto"/>
            </w:tcBorders>
            <w:shd w:val="pct15" w:color="auto" w:fill="auto"/>
            <w:vAlign w:val="center"/>
          </w:tcPr>
          <w:p w:rsidR="002A4E69" w:rsidRPr="00CF5651" w:rsidRDefault="002A4E69" w:rsidP="00CF0D99">
            <w:pPr>
              <w:autoSpaceDE w:val="0"/>
              <w:autoSpaceDN w:val="0"/>
              <w:adjustRightInd w:val="0"/>
              <w:jc w:val="center"/>
              <w:rPr>
                <w:rFonts w:ascii="Calibri" w:hAnsi="Calibri"/>
                <w:b/>
                <w:bCs/>
                <w:color w:val="000000"/>
                <w:sz w:val="18"/>
                <w:szCs w:val="18"/>
              </w:rPr>
            </w:pPr>
            <w:r w:rsidRPr="00CF5651">
              <w:rPr>
                <w:rFonts w:ascii="Calibri" w:hAnsi="Calibri"/>
                <w:b/>
                <w:bCs/>
                <w:color w:val="000000"/>
                <w:sz w:val="18"/>
                <w:szCs w:val="18"/>
              </w:rPr>
              <w:t>Hand gatherers</w:t>
            </w:r>
          </w:p>
        </w:tc>
      </w:tr>
      <w:tr w:rsidR="002A4E69" w:rsidRPr="00CF5651" w:rsidTr="00CF0D99">
        <w:trPr>
          <w:trHeight w:val="340"/>
        </w:trPr>
        <w:tc>
          <w:tcPr>
            <w:tcW w:w="1082"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rPr>
                <w:rFonts w:ascii="Calibri" w:hAnsi="Calibri"/>
                <w:color w:val="000000"/>
                <w:sz w:val="18"/>
                <w:szCs w:val="18"/>
              </w:rPr>
            </w:pPr>
            <w:r w:rsidRPr="00CF5651">
              <w:rPr>
                <w:rFonts w:ascii="Calibri" w:hAnsi="Calibri"/>
                <w:color w:val="000000"/>
                <w:sz w:val="18"/>
                <w:szCs w:val="18"/>
              </w:rPr>
              <w:t>2007</w:t>
            </w:r>
          </w:p>
        </w:tc>
        <w:tc>
          <w:tcPr>
            <w:tcW w:w="1011"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rPr>
                <w:rFonts w:ascii="Calibri" w:hAnsi="Calibri"/>
                <w:color w:val="000000"/>
                <w:sz w:val="18"/>
                <w:szCs w:val="18"/>
              </w:rPr>
            </w:pPr>
            <w:r w:rsidRPr="00CF5651">
              <w:rPr>
                <w:rFonts w:ascii="Calibri" w:hAnsi="Calibri"/>
                <w:color w:val="000000"/>
                <w:sz w:val="18"/>
                <w:szCs w:val="18"/>
              </w:rPr>
              <w:t>March</w:t>
            </w:r>
          </w:p>
        </w:tc>
        <w:tc>
          <w:tcPr>
            <w:tcW w:w="1069"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jc w:val="right"/>
              <w:rPr>
                <w:rFonts w:ascii="Calibri" w:hAnsi="Calibri"/>
                <w:color w:val="000000"/>
                <w:sz w:val="18"/>
                <w:szCs w:val="18"/>
              </w:rPr>
            </w:pPr>
            <w:r w:rsidRPr="00CF5651">
              <w:rPr>
                <w:rFonts w:ascii="Calibri" w:hAnsi="Calibri"/>
                <w:color w:val="000000"/>
                <w:sz w:val="18"/>
                <w:szCs w:val="18"/>
              </w:rPr>
              <w:t>2277</w:t>
            </w:r>
          </w:p>
        </w:tc>
        <w:tc>
          <w:tcPr>
            <w:tcW w:w="952"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jc w:val="right"/>
              <w:rPr>
                <w:rFonts w:ascii="Calibri" w:hAnsi="Calibri"/>
                <w:color w:val="000000"/>
                <w:sz w:val="18"/>
                <w:szCs w:val="18"/>
              </w:rPr>
            </w:pPr>
            <w:r w:rsidRPr="00CF5651">
              <w:rPr>
                <w:rFonts w:ascii="Calibri" w:hAnsi="Calibri"/>
                <w:color w:val="000000"/>
                <w:sz w:val="18"/>
                <w:szCs w:val="18"/>
              </w:rPr>
              <w:t>172</w:t>
            </w:r>
          </w:p>
        </w:tc>
        <w:tc>
          <w:tcPr>
            <w:tcW w:w="1281"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jc w:val="right"/>
              <w:rPr>
                <w:rFonts w:ascii="Calibri" w:hAnsi="Calibri"/>
                <w:color w:val="000000"/>
                <w:sz w:val="18"/>
                <w:szCs w:val="18"/>
              </w:rPr>
            </w:pPr>
            <w:r w:rsidRPr="00CF5651">
              <w:rPr>
                <w:rFonts w:ascii="Calibri" w:hAnsi="Calibri"/>
                <w:color w:val="000000"/>
                <w:sz w:val="18"/>
                <w:szCs w:val="18"/>
              </w:rPr>
              <w:t>950</w:t>
            </w:r>
          </w:p>
        </w:tc>
        <w:tc>
          <w:tcPr>
            <w:tcW w:w="1232"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jc w:val="right"/>
              <w:rPr>
                <w:rFonts w:ascii="Calibri" w:hAnsi="Calibri"/>
                <w:color w:val="000000"/>
                <w:sz w:val="18"/>
                <w:szCs w:val="18"/>
              </w:rPr>
            </w:pPr>
            <w:r w:rsidRPr="00CF5651">
              <w:rPr>
                <w:rFonts w:ascii="Calibri" w:hAnsi="Calibri"/>
                <w:color w:val="000000"/>
                <w:sz w:val="18"/>
                <w:szCs w:val="18"/>
              </w:rPr>
              <w:t>668</w:t>
            </w:r>
          </w:p>
        </w:tc>
        <w:tc>
          <w:tcPr>
            <w:tcW w:w="1232"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jc w:val="right"/>
              <w:rPr>
                <w:rFonts w:ascii="Calibri" w:hAnsi="Calibri"/>
                <w:color w:val="000000"/>
                <w:sz w:val="18"/>
                <w:szCs w:val="18"/>
              </w:rPr>
            </w:pPr>
            <w:r w:rsidRPr="00CF5651">
              <w:rPr>
                <w:rFonts w:ascii="Calibri" w:hAnsi="Calibri"/>
                <w:color w:val="000000"/>
                <w:sz w:val="18"/>
                <w:szCs w:val="18"/>
              </w:rPr>
              <w:t>Unknown</w:t>
            </w:r>
          </w:p>
        </w:tc>
      </w:tr>
      <w:tr w:rsidR="002A4E69" w:rsidRPr="00CF5651" w:rsidTr="00CF0D99">
        <w:trPr>
          <w:trHeight w:val="340"/>
        </w:trPr>
        <w:tc>
          <w:tcPr>
            <w:tcW w:w="1082"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rPr>
                <w:rFonts w:ascii="Calibri" w:hAnsi="Calibri"/>
                <w:color w:val="000000"/>
                <w:sz w:val="18"/>
                <w:szCs w:val="18"/>
              </w:rPr>
            </w:pPr>
            <w:r w:rsidRPr="00CF5651">
              <w:rPr>
                <w:rFonts w:ascii="Calibri" w:hAnsi="Calibri"/>
                <w:color w:val="000000"/>
                <w:sz w:val="18"/>
                <w:szCs w:val="18"/>
              </w:rPr>
              <w:t>2008</w:t>
            </w:r>
          </w:p>
        </w:tc>
        <w:tc>
          <w:tcPr>
            <w:tcW w:w="1011"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rPr>
                <w:rFonts w:ascii="Calibri" w:hAnsi="Calibri"/>
                <w:color w:val="000000"/>
                <w:sz w:val="18"/>
                <w:szCs w:val="18"/>
              </w:rPr>
            </w:pPr>
            <w:r w:rsidRPr="00CF5651">
              <w:rPr>
                <w:rFonts w:ascii="Calibri" w:hAnsi="Calibri"/>
                <w:color w:val="000000"/>
                <w:sz w:val="18"/>
                <w:szCs w:val="18"/>
              </w:rPr>
              <w:t>August</w:t>
            </w:r>
          </w:p>
        </w:tc>
        <w:tc>
          <w:tcPr>
            <w:tcW w:w="1069"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jc w:val="right"/>
              <w:rPr>
                <w:rFonts w:ascii="Calibri" w:hAnsi="Calibri"/>
                <w:color w:val="000000"/>
                <w:sz w:val="18"/>
                <w:szCs w:val="18"/>
              </w:rPr>
            </w:pPr>
            <w:r w:rsidRPr="00CF5651">
              <w:rPr>
                <w:rFonts w:ascii="Calibri" w:hAnsi="Calibri"/>
                <w:color w:val="000000"/>
                <w:sz w:val="18"/>
                <w:szCs w:val="18"/>
              </w:rPr>
              <w:t>3588</w:t>
            </w:r>
          </w:p>
        </w:tc>
        <w:tc>
          <w:tcPr>
            <w:tcW w:w="952"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jc w:val="right"/>
              <w:rPr>
                <w:rFonts w:ascii="Calibri" w:hAnsi="Calibri"/>
                <w:color w:val="000000"/>
                <w:sz w:val="18"/>
                <w:szCs w:val="18"/>
              </w:rPr>
            </w:pPr>
            <w:r w:rsidRPr="00CF5651">
              <w:rPr>
                <w:rFonts w:ascii="Calibri" w:hAnsi="Calibri"/>
                <w:color w:val="000000"/>
                <w:sz w:val="18"/>
                <w:szCs w:val="18"/>
              </w:rPr>
              <w:t>1905</w:t>
            </w:r>
          </w:p>
        </w:tc>
        <w:tc>
          <w:tcPr>
            <w:tcW w:w="1281"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jc w:val="right"/>
              <w:rPr>
                <w:rFonts w:ascii="Calibri" w:hAnsi="Calibri"/>
                <w:color w:val="000000"/>
                <w:sz w:val="18"/>
                <w:szCs w:val="18"/>
              </w:rPr>
            </w:pPr>
            <w:r w:rsidRPr="00CF5651">
              <w:rPr>
                <w:rFonts w:ascii="Calibri" w:hAnsi="Calibri"/>
                <w:color w:val="000000"/>
                <w:sz w:val="18"/>
                <w:szCs w:val="18"/>
              </w:rPr>
              <w:t>0</w:t>
            </w:r>
          </w:p>
        </w:tc>
        <w:tc>
          <w:tcPr>
            <w:tcW w:w="1232"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jc w:val="right"/>
              <w:rPr>
                <w:rFonts w:ascii="Calibri" w:hAnsi="Calibri"/>
                <w:color w:val="000000"/>
                <w:sz w:val="18"/>
                <w:szCs w:val="18"/>
              </w:rPr>
            </w:pPr>
            <w:r w:rsidRPr="00CF5651">
              <w:rPr>
                <w:rFonts w:ascii="Calibri" w:hAnsi="Calibri"/>
                <w:color w:val="000000"/>
                <w:sz w:val="18"/>
                <w:szCs w:val="18"/>
              </w:rPr>
              <w:t>0</w:t>
            </w:r>
          </w:p>
        </w:tc>
        <w:tc>
          <w:tcPr>
            <w:tcW w:w="1232"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jc w:val="right"/>
              <w:rPr>
                <w:rFonts w:ascii="Calibri" w:hAnsi="Calibri"/>
                <w:color w:val="000000"/>
                <w:sz w:val="18"/>
                <w:szCs w:val="18"/>
              </w:rPr>
            </w:pPr>
            <w:r w:rsidRPr="00CF5651">
              <w:rPr>
                <w:rFonts w:ascii="Calibri" w:hAnsi="Calibri"/>
                <w:color w:val="000000"/>
                <w:sz w:val="18"/>
                <w:szCs w:val="18"/>
              </w:rPr>
              <w:t>0</w:t>
            </w:r>
          </w:p>
        </w:tc>
      </w:tr>
      <w:tr w:rsidR="002A4E69" w:rsidRPr="00CF5651" w:rsidTr="00CF0D99">
        <w:trPr>
          <w:trHeight w:val="340"/>
        </w:trPr>
        <w:tc>
          <w:tcPr>
            <w:tcW w:w="1082"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rPr>
                <w:rFonts w:ascii="Calibri" w:hAnsi="Calibri"/>
                <w:color w:val="000000"/>
                <w:sz w:val="18"/>
                <w:szCs w:val="18"/>
              </w:rPr>
            </w:pPr>
            <w:r w:rsidRPr="00CF5651">
              <w:rPr>
                <w:rFonts w:ascii="Calibri" w:hAnsi="Calibri"/>
                <w:color w:val="000000"/>
                <w:sz w:val="18"/>
                <w:szCs w:val="18"/>
              </w:rPr>
              <w:t>2009</w:t>
            </w:r>
          </w:p>
        </w:tc>
        <w:tc>
          <w:tcPr>
            <w:tcW w:w="1011"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rPr>
                <w:rFonts w:ascii="Calibri" w:hAnsi="Calibri"/>
                <w:color w:val="000000"/>
                <w:sz w:val="18"/>
                <w:szCs w:val="18"/>
              </w:rPr>
            </w:pPr>
            <w:r w:rsidRPr="00CF5651">
              <w:rPr>
                <w:rFonts w:ascii="Calibri" w:hAnsi="Calibri"/>
                <w:color w:val="000000"/>
                <w:sz w:val="18"/>
                <w:szCs w:val="18"/>
              </w:rPr>
              <w:t>June</w:t>
            </w:r>
          </w:p>
        </w:tc>
        <w:tc>
          <w:tcPr>
            <w:tcW w:w="1069"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jc w:val="right"/>
              <w:rPr>
                <w:rFonts w:ascii="Calibri" w:hAnsi="Calibri"/>
                <w:color w:val="000000"/>
                <w:sz w:val="18"/>
                <w:szCs w:val="18"/>
              </w:rPr>
            </w:pPr>
            <w:r w:rsidRPr="00CF5651">
              <w:rPr>
                <w:rFonts w:ascii="Calibri" w:hAnsi="Calibri"/>
                <w:color w:val="000000"/>
                <w:sz w:val="18"/>
                <w:szCs w:val="18"/>
              </w:rPr>
              <w:t>2158</w:t>
            </w:r>
          </w:p>
        </w:tc>
        <w:tc>
          <w:tcPr>
            <w:tcW w:w="952"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jc w:val="right"/>
              <w:rPr>
                <w:rFonts w:ascii="Calibri" w:hAnsi="Calibri"/>
                <w:color w:val="000000"/>
                <w:sz w:val="18"/>
                <w:szCs w:val="18"/>
              </w:rPr>
            </w:pPr>
            <w:r w:rsidRPr="00CF5651">
              <w:rPr>
                <w:rFonts w:ascii="Calibri" w:hAnsi="Calibri"/>
                <w:color w:val="000000"/>
                <w:sz w:val="18"/>
                <w:szCs w:val="18"/>
              </w:rPr>
              <w:t>721</w:t>
            </w:r>
          </w:p>
        </w:tc>
        <w:tc>
          <w:tcPr>
            <w:tcW w:w="1281"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jc w:val="right"/>
              <w:rPr>
                <w:rFonts w:ascii="Calibri" w:hAnsi="Calibri"/>
                <w:color w:val="000000"/>
                <w:sz w:val="18"/>
                <w:szCs w:val="18"/>
              </w:rPr>
            </w:pPr>
            <w:r w:rsidRPr="00CF5651">
              <w:rPr>
                <w:rFonts w:ascii="Calibri" w:hAnsi="Calibri"/>
                <w:color w:val="000000"/>
                <w:sz w:val="18"/>
                <w:szCs w:val="18"/>
              </w:rPr>
              <w:t>719</w:t>
            </w:r>
          </w:p>
        </w:tc>
        <w:tc>
          <w:tcPr>
            <w:tcW w:w="1232"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jc w:val="right"/>
              <w:rPr>
                <w:rFonts w:ascii="Calibri" w:hAnsi="Calibri"/>
                <w:color w:val="000000"/>
                <w:sz w:val="18"/>
                <w:szCs w:val="18"/>
              </w:rPr>
            </w:pPr>
            <w:r w:rsidRPr="00CF5651">
              <w:rPr>
                <w:rFonts w:ascii="Calibri" w:hAnsi="Calibri"/>
                <w:color w:val="000000"/>
                <w:sz w:val="18"/>
                <w:szCs w:val="18"/>
              </w:rPr>
              <w:t>108</w:t>
            </w:r>
          </w:p>
        </w:tc>
        <w:tc>
          <w:tcPr>
            <w:tcW w:w="1232"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jc w:val="right"/>
              <w:rPr>
                <w:rFonts w:ascii="Calibri" w:hAnsi="Calibri"/>
                <w:color w:val="000000"/>
                <w:sz w:val="18"/>
                <w:szCs w:val="18"/>
              </w:rPr>
            </w:pPr>
            <w:r w:rsidRPr="00CF5651">
              <w:rPr>
                <w:rFonts w:ascii="Calibri" w:hAnsi="Calibri"/>
                <w:color w:val="000000"/>
                <w:sz w:val="18"/>
                <w:szCs w:val="18"/>
              </w:rPr>
              <w:t>0.28</w:t>
            </w:r>
          </w:p>
        </w:tc>
      </w:tr>
      <w:tr w:rsidR="002A4E69" w:rsidRPr="00CF5651" w:rsidTr="00CF0D99">
        <w:trPr>
          <w:trHeight w:val="340"/>
        </w:trPr>
        <w:tc>
          <w:tcPr>
            <w:tcW w:w="1082"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rPr>
                <w:rFonts w:ascii="Calibri" w:hAnsi="Calibri"/>
                <w:color w:val="000000"/>
                <w:sz w:val="18"/>
                <w:szCs w:val="18"/>
              </w:rPr>
            </w:pPr>
            <w:r w:rsidRPr="00CF5651">
              <w:rPr>
                <w:rFonts w:ascii="Calibri" w:hAnsi="Calibri"/>
                <w:color w:val="000000"/>
                <w:sz w:val="18"/>
                <w:szCs w:val="18"/>
              </w:rPr>
              <w:t>2010</w:t>
            </w:r>
          </w:p>
        </w:tc>
        <w:tc>
          <w:tcPr>
            <w:tcW w:w="1011"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rPr>
                <w:rFonts w:ascii="Calibri" w:hAnsi="Calibri"/>
                <w:color w:val="000000"/>
                <w:sz w:val="18"/>
                <w:szCs w:val="18"/>
              </w:rPr>
            </w:pPr>
            <w:r w:rsidRPr="00CF5651">
              <w:rPr>
                <w:rFonts w:ascii="Calibri" w:hAnsi="Calibri"/>
                <w:color w:val="000000"/>
                <w:sz w:val="18"/>
                <w:szCs w:val="18"/>
              </w:rPr>
              <w:t>May</w:t>
            </w:r>
          </w:p>
        </w:tc>
        <w:tc>
          <w:tcPr>
            <w:tcW w:w="1069"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jc w:val="right"/>
              <w:rPr>
                <w:rFonts w:ascii="Calibri" w:hAnsi="Calibri"/>
                <w:color w:val="000000"/>
                <w:sz w:val="18"/>
                <w:szCs w:val="18"/>
              </w:rPr>
            </w:pPr>
            <w:r w:rsidRPr="00CF5651">
              <w:rPr>
                <w:rFonts w:ascii="Calibri" w:hAnsi="Calibri"/>
                <w:color w:val="000000"/>
                <w:sz w:val="18"/>
                <w:szCs w:val="18"/>
              </w:rPr>
              <w:t>814</w:t>
            </w:r>
          </w:p>
        </w:tc>
        <w:tc>
          <w:tcPr>
            <w:tcW w:w="952"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jc w:val="right"/>
              <w:rPr>
                <w:rFonts w:ascii="Calibri" w:hAnsi="Calibri"/>
                <w:color w:val="000000"/>
                <w:sz w:val="18"/>
                <w:szCs w:val="18"/>
              </w:rPr>
            </w:pPr>
            <w:r w:rsidRPr="00CF5651">
              <w:rPr>
                <w:rFonts w:ascii="Calibri" w:hAnsi="Calibri"/>
                <w:color w:val="000000"/>
                <w:sz w:val="18"/>
                <w:szCs w:val="18"/>
              </w:rPr>
              <w:t>314</w:t>
            </w:r>
          </w:p>
        </w:tc>
        <w:tc>
          <w:tcPr>
            <w:tcW w:w="1281"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jc w:val="right"/>
              <w:rPr>
                <w:rFonts w:ascii="Calibri" w:hAnsi="Calibri"/>
                <w:color w:val="000000"/>
                <w:sz w:val="18"/>
                <w:szCs w:val="18"/>
              </w:rPr>
            </w:pPr>
            <w:r w:rsidRPr="00CF5651">
              <w:rPr>
                <w:rFonts w:ascii="Calibri" w:hAnsi="Calibri"/>
                <w:color w:val="000000"/>
                <w:sz w:val="18"/>
                <w:szCs w:val="18"/>
              </w:rPr>
              <w:t>0</w:t>
            </w:r>
          </w:p>
        </w:tc>
        <w:tc>
          <w:tcPr>
            <w:tcW w:w="1232"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jc w:val="right"/>
              <w:rPr>
                <w:rFonts w:ascii="Calibri" w:hAnsi="Calibri"/>
                <w:color w:val="000000"/>
                <w:sz w:val="18"/>
                <w:szCs w:val="18"/>
              </w:rPr>
            </w:pPr>
            <w:r w:rsidRPr="00CF5651">
              <w:rPr>
                <w:rFonts w:ascii="Calibri" w:hAnsi="Calibri"/>
                <w:color w:val="000000"/>
                <w:sz w:val="18"/>
                <w:szCs w:val="18"/>
              </w:rPr>
              <w:t>0</w:t>
            </w:r>
          </w:p>
        </w:tc>
        <w:tc>
          <w:tcPr>
            <w:tcW w:w="1232"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jc w:val="right"/>
              <w:rPr>
                <w:rFonts w:ascii="Calibri" w:hAnsi="Calibri"/>
                <w:color w:val="000000"/>
                <w:sz w:val="18"/>
                <w:szCs w:val="18"/>
              </w:rPr>
            </w:pPr>
            <w:r w:rsidRPr="00CF5651">
              <w:rPr>
                <w:rFonts w:ascii="Calibri" w:hAnsi="Calibri"/>
                <w:color w:val="000000"/>
                <w:sz w:val="18"/>
                <w:szCs w:val="18"/>
              </w:rPr>
              <w:t>0</w:t>
            </w:r>
          </w:p>
        </w:tc>
      </w:tr>
      <w:tr w:rsidR="002A4E69" w:rsidRPr="00CF5651" w:rsidTr="00CF0D99">
        <w:trPr>
          <w:trHeight w:val="340"/>
        </w:trPr>
        <w:tc>
          <w:tcPr>
            <w:tcW w:w="1082"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rPr>
                <w:rFonts w:ascii="Calibri" w:hAnsi="Calibri"/>
                <w:color w:val="000000"/>
                <w:sz w:val="18"/>
                <w:szCs w:val="18"/>
              </w:rPr>
            </w:pPr>
            <w:r w:rsidRPr="00CF5651">
              <w:rPr>
                <w:rFonts w:ascii="Calibri" w:hAnsi="Calibri"/>
                <w:color w:val="000000"/>
                <w:sz w:val="18"/>
                <w:szCs w:val="18"/>
              </w:rPr>
              <w:t>2011</w:t>
            </w:r>
          </w:p>
        </w:tc>
        <w:tc>
          <w:tcPr>
            <w:tcW w:w="1011"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rPr>
                <w:rFonts w:ascii="Calibri" w:hAnsi="Calibri"/>
                <w:color w:val="000000"/>
                <w:sz w:val="18"/>
                <w:szCs w:val="18"/>
              </w:rPr>
            </w:pPr>
            <w:r w:rsidRPr="00CF5651">
              <w:rPr>
                <w:rFonts w:ascii="Calibri" w:hAnsi="Calibri"/>
                <w:color w:val="000000"/>
                <w:sz w:val="18"/>
                <w:szCs w:val="18"/>
              </w:rPr>
              <w:t>May</w:t>
            </w:r>
          </w:p>
        </w:tc>
        <w:tc>
          <w:tcPr>
            <w:tcW w:w="1069"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jc w:val="right"/>
              <w:rPr>
                <w:rFonts w:ascii="Calibri" w:hAnsi="Calibri"/>
                <w:color w:val="000000"/>
                <w:sz w:val="18"/>
                <w:szCs w:val="18"/>
              </w:rPr>
            </w:pPr>
            <w:r w:rsidRPr="00CF5651">
              <w:rPr>
                <w:rFonts w:ascii="Calibri" w:hAnsi="Calibri"/>
                <w:color w:val="000000"/>
                <w:sz w:val="18"/>
                <w:szCs w:val="18"/>
              </w:rPr>
              <w:t>1531</w:t>
            </w:r>
          </w:p>
        </w:tc>
        <w:tc>
          <w:tcPr>
            <w:tcW w:w="952"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jc w:val="right"/>
              <w:rPr>
                <w:rFonts w:ascii="Calibri" w:hAnsi="Calibri"/>
                <w:color w:val="000000"/>
                <w:sz w:val="18"/>
                <w:szCs w:val="18"/>
              </w:rPr>
            </w:pPr>
            <w:r w:rsidRPr="00CF5651">
              <w:rPr>
                <w:rFonts w:ascii="Calibri" w:hAnsi="Calibri"/>
                <w:color w:val="000000"/>
                <w:sz w:val="18"/>
                <w:szCs w:val="18"/>
              </w:rPr>
              <w:t>94</w:t>
            </w:r>
          </w:p>
        </w:tc>
        <w:tc>
          <w:tcPr>
            <w:tcW w:w="1281"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jc w:val="right"/>
              <w:rPr>
                <w:rFonts w:ascii="Calibri" w:hAnsi="Calibri"/>
                <w:color w:val="000000"/>
                <w:sz w:val="18"/>
                <w:szCs w:val="18"/>
              </w:rPr>
            </w:pPr>
            <w:r w:rsidRPr="00CF5651">
              <w:rPr>
                <w:rFonts w:ascii="Calibri" w:hAnsi="Calibri"/>
                <w:color w:val="000000"/>
                <w:sz w:val="18"/>
                <w:szCs w:val="18"/>
              </w:rPr>
              <w:t>510</w:t>
            </w:r>
          </w:p>
        </w:tc>
        <w:tc>
          <w:tcPr>
            <w:tcW w:w="1232"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jc w:val="right"/>
              <w:rPr>
                <w:rFonts w:ascii="Calibri" w:hAnsi="Calibri"/>
                <w:color w:val="000000"/>
                <w:sz w:val="18"/>
                <w:szCs w:val="18"/>
              </w:rPr>
            </w:pPr>
            <w:r w:rsidRPr="00CF5651">
              <w:rPr>
                <w:rFonts w:ascii="Calibri" w:hAnsi="Calibri"/>
                <w:color w:val="000000"/>
                <w:sz w:val="18"/>
                <w:szCs w:val="18"/>
              </w:rPr>
              <w:t>325</w:t>
            </w:r>
          </w:p>
        </w:tc>
        <w:tc>
          <w:tcPr>
            <w:tcW w:w="1232"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jc w:val="right"/>
              <w:rPr>
                <w:rFonts w:ascii="Calibri" w:hAnsi="Calibri"/>
                <w:color w:val="000000"/>
                <w:sz w:val="18"/>
                <w:szCs w:val="18"/>
              </w:rPr>
            </w:pPr>
            <w:r w:rsidRPr="00CF5651">
              <w:rPr>
                <w:rFonts w:ascii="Calibri" w:hAnsi="Calibri"/>
                <w:color w:val="000000"/>
                <w:sz w:val="18"/>
                <w:szCs w:val="18"/>
              </w:rPr>
              <w:t>0.25</w:t>
            </w:r>
          </w:p>
        </w:tc>
      </w:tr>
      <w:tr w:rsidR="002A4E69" w:rsidRPr="00CF5651" w:rsidTr="00CF0D99">
        <w:trPr>
          <w:trHeight w:val="340"/>
        </w:trPr>
        <w:tc>
          <w:tcPr>
            <w:tcW w:w="1082"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rPr>
                <w:rFonts w:ascii="Calibri" w:hAnsi="Calibri"/>
                <w:color w:val="000000"/>
                <w:sz w:val="18"/>
                <w:szCs w:val="18"/>
              </w:rPr>
            </w:pPr>
            <w:r w:rsidRPr="00CF5651">
              <w:rPr>
                <w:rFonts w:ascii="Calibri" w:hAnsi="Calibri"/>
                <w:color w:val="000000"/>
                <w:sz w:val="18"/>
                <w:szCs w:val="18"/>
              </w:rPr>
              <w:t>2012</w:t>
            </w:r>
          </w:p>
        </w:tc>
        <w:tc>
          <w:tcPr>
            <w:tcW w:w="1011"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rPr>
                <w:rFonts w:ascii="Calibri" w:hAnsi="Calibri"/>
                <w:color w:val="000000"/>
                <w:sz w:val="18"/>
                <w:szCs w:val="18"/>
              </w:rPr>
            </w:pPr>
            <w:r w:rsidRPr="00CF5651">
              <w:rPr>
                <w:rFonts w:ascii="Calibri" w:hAnsi="Calibri"/>
                <w:color w:val="000000"/>
                <w:sz w:val="18"/>
                <w:szCs w:val="18"/>
              </w:rPr>
              <w:t>May</w:t>
            </w:r>
          </w:p>
        </w:tc>
        <w:tc>
          <w:tcPr>
            <w:tcW w:w="1069"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jc w:val="right"/>
              <w:rPr>
                <w:rFonts w:ascii="Calibri" w:hAnsi="Calibri"/>
                <w:color w:val="000000"/>
                <w:sz w:val="18"/>
                <w:szCs w:val="18"/>
              </w:rPr>
            </w:pPr>
            <w:r w:rsidRPr="00CF5651">
              <w:rPr>
                <w:rFonts w:ascii="Calibri" w:hAnsi="Calibri"/>
                <w:color w:val="000000"/>
                <w:sz w:val="18"/>
                <w:szCs w:val="18"/>
              </w:rPr>
              <w:t>1234</w:t>
            </w:r>
          </w:p>
        </w:tc>
        <w:tc>
          <w:tcPr>
            <w:tcW w:w="952"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jc w:val="right"/>
              <w:rPr>
                <w:rFonts w:ascii="Calibri" w:hAnsi="Calibri"/>
                <w:color w:val="000000"/>
                <w:sz w:val="18"/>
                <w:szCs w:val="18"/>
              </w:rPr>
            </w:pPr>
            <w:r w:rsidRPr="00CF5651">
              <w:rPr>
                <w:rFonts w:ascii="Calibri" w:hAnsi="Calibri"/>
                <w:color w:val="000000"/>
                <w:sz w:val="18"/>
                <w:szCs w:val="18"/>
              </w:rPr>
              <w:t>87</w:t>
            </w:r>
          </w:p>
        </w:tc>
        <w:tc>
          <w:tcPr>
            <w:tcW w:w="1281"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jc w:val="right"/>
              <w:rPr>
                <w:rFonts w:ascii="Calibri" w:hAnsi="Calibri"/>
                <w:color w:val="000000"/>
                <w:sz w:val="18"/>
                <w:szCs w:val="18"/>
              </w:rPr>
            </w:pPr>
            <w:r w:rsidRPr="00CF5651">
              <w:rPr>
                <w:rFonts w:ascii="Calibri" w:hAnsi="Calibri"/>
                <w:color w:val="000000"/>
                <w:sz w:val="18"/>
                <w:szCs w:val="18"/>
              </w:rPr>
              <w:t>400</w:t>
            </w:r>
          </w:p>
        </w:tc>
        <w:tc>
          <w:tcPr>
            <w:tcW w:w="1232"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jc w:val="right"/>
              <w:rPr>
                <w:rFonts w:ascii="Calibri" w:hAnsi="Calibri"/>
                <w:color w:val="000000"/>
                <w:sz w:val="18"/>
                <w:szCs w:val="18"/>
              </w:rPr>
            </w:pPr>
            <w:r w:rsidRPr="00CF5651">
              <w:rPr>
                <w:rFonts w:ascii="Calibri" w:hAnsi="Calibri"/>
                <w:color w:val="000000"/>
                <w:sz w:val="18"/>
                <w:szCs w:val="18"/>
              </w:rPr>
              <w:t>394</w:t>
            </w:r>
          </w:p>
        </w:tc>
        <w:tc>
          <w:tcPr>
            <w:tcW w:w="1232"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jc w:val="right"/>
              <w:rPr>
                <w:rFonts w:ascii="Calibri" w:hAnsi="Calibri"/>
                <w:color w:val="000000"/>
                <w:sz w:val="18"/>
                <w:szCs w:val="18"/>
              </w:rPr>
            </w:pPr>
            <w:r w:rsidRPr="00CF5651">
              <w:rPr>
                <w:rFonts w:ascii="Calibri" w:hAnsi="Calibri"/>
                <w:color w:val="000000"/>
                <w:sz w:val="18"/>
                <w:szCs w:val="18"/>
              </w:rPr>
              <w:t>9.40</w:t>
            </w:r>
          </w:p>
        </w:tc>
      </w:tr>
      <w:tr w:rsidR="002A4E69" w:rsidRPr="00CF5651" w:rsidTr="00CF0D99">
        <w:trPr>
          <w:trHeight w:val="340"/>
        </w:trPr>
        <w:tc>
          <w:tcPr>
            <w:tcW w:w="1082"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rPr>
                <w:rFonts w:ascii="Calibri" w:hAnsi="Calibri"/>
                <w:color w:val="000000"/>
                <w:sz w:val="18"/>
                <w:szCs w:val="18"/>
              </w:rPr>
            </w:pPr>
            <w:r w:rsidRPr="00CF5651">
              <w:rPr>
                <w:rFonts w:ascii="Calibri" w:hAnsi="Calibri"/>
                <w:color w:val="000000"/>
                <w:sz w:val="18"/>
                <w:szCs w:val="18"/>
              </w:rPr>
              <w:t>2013</w:t>
            </w:r>
          </w:p>
        </w:tc>
        <w:tc>
          <w:tcPr>
            <w:tcW w:w="1011"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rPr>
                <w:rFonts w:ascii="Calibri" w:hAnsi="Calibri"/>
                <w:color w:val="000000"/>
                <w:sz w:val="18"/>
                <w:szCs w:val="18"/>
              </w:rPr>
            </w:pPr>
            <w:r w:rsidRPr="00CF5651">
              <w:rPr>
                <w:rFonts w:ascii="Calibri" w:hAnsi="Calibri"/>
                <w:color w:val="000000"/>
                <w:sz w:val="18"/>
                <w:szCs w:val="18"/>
              </w:rPr>
              <w:t>June</w:t>
            </w:r>
          </w:p>
        </w:tc>
        <w:tc>
          <w:tcPr>
            <w:tcW w:w="1069"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jc w:val="right"/>
              <w:rPr>
                <w:rFonts w:ascii="Calibri" w:hAnsi="Calibri"/>
                <w:color w:val="000000"/>
                <w:sz w:val="18"/>
                <w:szCs w:val="18"/>
              </w:rPr>
            </w:pPr>
            <w:r w:rsidRPr="00CF5651">
              <w:rPr>
                <w:rFonts w:ascii="Calibri" w:hAnsi="Calibri"/>
                <w:color w:val="000000"/>
                <w:sz w:val="18"/>
                <w:szCs w:val="18"/>
              </w:rPr>
              <w:t>1260</w:t>
            </w:r>
          </w:p>
        </w:tc>
        <w:tc>
          <w:tcPr>
            <w:tcW w:w="952"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jc w:val="right"/>
              <w:rPr>
                <w:rFonts w:ascii="Calibri" w:hAnsi="Calibri"/>
                <w:color w:val="000000"/>
                <w:sz w:val="18"/>
                <w:szCs w:val="18"/>
              </w:rPr>
            </w:pPr>
            <w:r w:rsidRPr="00CF5651">
              <w:rPr>
                <w:rFonts w:ascii="Calibri" w:hAnsi="Calibri"/>
                <w:color w:val="000000"/>
                <w:sz w:val="18"/>
                <w:szCs w:val="18"/>
              </w:rPr>
              <w:t>99</w:t>
            </w:r>
          </w:p>
        </w:tc>
        <w:tc>
          <w:tcPr>
            <w:tcW w:w="1281"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jc w:val="right"/>
              <w:rPr>
                <w:rFonts w:ascii="Calibri" w:hAnsi="Calibri"/>
                <w:color w:val="000000"/>
                <w:sz w:val="18"/>
                <w:szCs w:val="18"/>
              </w:rPr>
            </w:pPr>
            <w:r w:rsidRPr="00CF5651">
              <w:rPr>
                <w:rFonts w:ascii="Calibri" w:hAnsi="Calibri"/>
                <w:color w:val="000000"/>
                <w:sz w:val="18"/>
                <w:szCs w:val="18"/>
              </w:rPr>
              <w:t>416</w:t>
            </w:r>
          </w:p>
        </w:tc>
        <w:tc>
          <w:tcPr>
            <w:tcW w:w="1232"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jc w:val="right"/>
              <w:rPr>
                <w:rFonts w:ascii="Calibri" w:hAnsi="Calibri"/>
                <w:color w:val="000000"/>
                <w:sz w:val="18"/>
                <w:szCs w:val="18"/>
              </w:rPr>
            </w:pPr>
            <w:r w:rsidRPr="00CF5651">
              <w:rPr>
                <w:rFonts w:ascii="Calibri" w:hAnsi="Calibri"/>
                <w:color w:val="000000"/>
                <w:sz w:val="18"/>
                <w:szCs w:val="18"/>
              </w:rPr>
              <w:t>343</w:t>
            </w:r>
          </w:p>
        </w:tc>
        <w:tc>
          <w:tcPr>
            <w:tcW w:w="1232"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jc w:val="right"/>
              <w:rPr>
                <w:rFonts w:ascii="Calibri" w:hAnsi="Calibri"/>
                <w:color w:val="000000"/>
                <w:sz w:val="18"/>
                <w:szCs w:val="18"/>
              </w:rPr>
            </w:pPr>
            <w:r w:rsidRPr="00CF5651">
              <w:rPr>
                <w:rFonts w:ascii="Calibri" w:hAnsi="Calibri"/>
                <w:color w:val="000000"/>
                <w:sz w:val="18"/>
                <w:szCs w:val="18"/>
              </w:rPr>
              <w:t>0</w:t>
            </w:r>
          </w:p>
        </w:tc>
      </w:tr>
      <w:tr w:rsidR="002A4E69" w:rsidRPr="00CF5651" w:rsidTr="00CF0D99">
        <w:trPr>
          <w:trHeight w:val="340"/>
        </w:trPr>
        <w:tc>
          <w:tcPr>
            <w:tcW w:w="1082"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rPr>
                <w:rFonts w:ascii="Calibri" w:hAnsi="Calibri"/>
                <w:color w:val="000000"/>
                <w:sz w:val="18"/>
                <w:szCs w:val="18"/>
              </w:rPr>
            </w:pPr>
            <w:r w:rsidRPr="00CF5651">
              <w:rPr>
                <w:rFonts w:ascii="Calibri" w:hAnsi="Calibri"/>
                <w:color w:val="000000"/>
                <w:sz w:val="18"/>
                <w:szCs w:val="18"/>
              </w:rPr>
              <w:lastRenderedPageBreak/>
              <w:t>2014</w:t>
            </w:r>
          </w:p>
        </w:tc>
        <w:tc>
          <w:tcPr>
            <w:tcW w:w="1011"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rPr>
                <w:rFonts w:ascii="Calibri" w:hAnsi="Calibri"/>
                <w:color w:val="000000"/>
                <w:sz w:val="18"/>
                <w:szCs w:val="18"/>
              </w:rPr>
            </w:pPr>
            <w:r w:rsidRPr="00CF5651">
              <w:rPr>
                <w:rFonts w:ascii="Calibri" w:hAnsi="Calibri"/>
                <w:color w:val="000000"/>
                <w:sz w:val="18"/>
                <w:szCs w:val="18"/>
              </w:rPr>
              <w:t>June</w:t>
            </w:r>
          </w:p>
        </w:tc>
        <w:tc>
          <w:tcPr>
            <w:tcW w:w="1069"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jc w:val="right"/>
              <w:rPr>
                <w:rFonts w:ascii="Calibri" w:hAnsi="Calibri"/>
                <w:color w:val="000000"/>
                <w:sz w:val="18"/>
                <w:szCs w:val="18"/>
              </w:rPr>
            </w:pPr>
            <w:r w:rsidRPr="00CF5651">
              <w:rPr>
                <w:rFonts w:ascii="Calibri" w:hAnsi="Calibri"/>
                <w:color w:val="000000"/>
                <w:sz w:val="18"/>
                <w:szCs w:val="18"/>
              </w:rPr>
              <w:t>972</w:t>
            </w:r>
          </w:p>
        </w:tc>
        <w:tc>
          <w:tcPr>
            <w:tcW w:w="952"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jc w:val="right"/>
              <w:rPr>
                <w:rFonts w:ascii="Calibri" w:hAnsi="Calibri"/>
                <w:color w:val="000000"/>
                <w:sz w:val="18"/>
                <w:szCs w:val="18"/>
              </w:rPr>
            </w:pPr>
            <w:r w:rsidRPr="00CF5651">
              <w:rPr>
                <w:rFonts w:ascii="Calibri" w:hAnsi="Calibri"/>
                <w:color w:val="000000"/>
                <w:sz w:val="18"/>
                <w:szCs w:val="18"/>
              </w:rPr>
              <w:t>188</w:t>
            </w:r>
          </w:p>
        </w:tc>
        <w:tc>
          <w:tcPr>
            <w:tcW w:w="1281"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jc w:val="right"/>
              <w:rPr>
                <w:rFonts w:ascii="Calibri" w:hAnsi="Calibri"/>
                <w:color w:val="000000"/>
                <w:sz w:val="18"/>
                <w:szCs w:val="18"/>
              </w:rPr>
            </w:pPr>
            <w:r w:rsidRPr="00CF5651">
              <w:rPr>
                <w:rFonts w:ascii="Calibri" w:hAnsi="Calibri"/>
                <w:color w:val="000000"/>
                <w:sz w:val="18"/>
                <w:szCs w:val="18"/>
              </w:rPr>
              <w:t>0</w:t>
            </w:r>
          </w:p>
        </w:tc>
        <w:tc>
          <w:tcPr>
            <w:tcW w:w="1232"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jc w:val="right"/>
              <w:rPr>
                <w:rFonts w:ascii="Calibri" w:hAnsi="Calibri"/>
                <w:color w:val="000000"/>
                <w:sz w:val="18"/>
                <w:szCs w:val="18"/>
              </w:rPr>
            </w:pPr>
            <w:r w:rsidRPr="00CF5651">
              <w:rPr>
                <w:rFonts w:ascii="Calibri" w:hAnsi="Calibri"/>
                <w:color w:val="000000"/>
                <w:sz w:val="18"/>
                <w:szCs w:val="18"/>
              </w:rPr>
              <w:t>0</w:t>
            </w:r>
          </w:p>
        </w:tc>
        <w:tc>
          <w:tcPr>
            <w:tcW w:w="1232"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jc w:val="right"/>
              <w:rPr>
                <w:rFonts w:ascii="Calibri" w:hAnsi="Calibri"/>
                <w:color w:val="000000"/>
                <w:sz w:val="18"/>
                <w:szCs w:val="18"/>
              </w:rPr>
            </w:pPr>
            <w:r w:rsidRPr="00CF5651">
              <w:rPr>
                <w:rFonts w:ascii="Calibri" w:hAnsi="Calibri"/>
                <w:color w:val="000000"/>
                <w:sz w:val="18"/>
                <w:szCs w:val="18"/>
              </w:rPr>
              <w:t>0</w:t>
            </w:r>
          </w:p>
        </w:tc>
      </w:tr>
      <w:tr w:rsidR="002A4E69" w:rsidRPr="00CF5651" w:rsidTr="00CF0D99">
        <w:trPr>
          <w:trHeight w:val="340"/>
        </w:trPr>
        <w:tc>
          <w:tcPr>
            <w:tcW w:w="1082"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rPr>
                <w:rFonts w:ascii="Calibri" w:hAnsi="Calibri"/>
                <w:color w:val="000000"/>
                <w:sz w:val="18"/>
                <w:szCs w:val="18"/>
              </w:rPr>
            </w:pPr>
            <w:r w:rsidRPr="00CF5651">
              <w:rPr>
                <w:rFonts w:ascii="Calibri" w:hAnsi="Calibri"/>
                <w:color w:val="000000"/>
                <w:sz w:val="18"/>
                <w:szCs w:val="18"/>
              </w:rPr>
              <w:t>2015</w:t>
            </w:r>
          </w:p>
        </w:tc>
        <w:tc>
          <w:tcPr>
            <w:tcW w:w="1011"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rPr>
                <w:rFonts w:ascii="Calibri" w:hAnsi="Calibri"/>
                <w:color w:val="000000"/>
                <w:sz w:val="18"/>
                <w:szCs w:val="18"/>
              </w:rPr>
            </w:pPr>
            <w:r w:rsidRPr="00CF5651">
              <w:rPr>
                <w:rFonts w:ascii="Calibri" w:hAnsi="Calibri"/>
                <w:color w:val="000000"/>
                <w:sz w:val="18"/>
                <w:szCs w:val="18"/>
              </w:rPr>
              <w:t>June</w:t>
            </w:r>
          </w:p>
        </w:tc>
        <w:tc>
          <w:tcPr>
            <w:tcW w:w="1069"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jc w:val="right"/>
              <w:rPr>
                <w:rFonts w:ascii="Calibri" w:hAnsi="Calibri"/>
                <w:color w:val="000000"/>
                <w:sz w:val="18"/>
                <w:szCs w:val="18"/>
              </w:rPr>
            </w:pPr>
            <w:r w:rsidRPr="00CF5651">
              <w:rPr>
                <w:rFonts w:ascii="Calibri" w:hAnsi="Calibri"/>
                <w:color w:val="000000"/>
                <w:sz w:val="18"/>
                <w:szCs w:val="18"/>
              </w:rPr>
              <w:t>1032</w:t>
            </w:r>
          </w:p>
        </w:tc>
        <w:tc>
          <w:tcPr>
            <w:tcW w:w="952" w:type="dxa"/>
            <w:tcBorders>
              <w:top w:val="single" w:sz="6" w:space="0" w:color="auto"/>
              <w:left w:val="single" w:sz="6" w:space="0" w:color="auto"/>
              <w:bottom w:val="single" w:sz="6" w:space="0" w:color="auto"/>
              <w:right w:val="single" w:sz="6" w:space="0" w:color="auto"/>
            </w:tcBorders>
            <w:vAlign w:val="center"/>
          </w:tcPr>
          <w:p w:rsidR="002A4E69" w:rsidRPr="00CF5651" w:rsidRDefault="002A4E69" w:rsidP="00CF0D99">
            <w:pPr>
              <w:autoSpaceDE w:val="0"/>
              <w:autoSpaceDN w:val="0"/>
              <w:adjustRightInd w:val="0"/>
              <w:jc w:val="right"/>
              <w:rPr>
                <w:rFonts w:ascii="Calibri" w:hAnsi="Calibri"/>
                <w:color w:val="000000"/>
                <w:sz w:val="18"/>
                <w:szCs w:val="18"/>
              </w:rPr>
            </w:pPr>
            <w:r w:rsidRPr="00CF5651">
              <w:rPr>
                <w:rFonts w:ascii="Calibri" w:hAnsi="Calibri"/>
                <w:color w:val="000000"/>
                <w:sz w:val="18"/>
                <w:szCs w:val="18"/>
              </w:rPr>
              <w:t>100</w:t>
            </w:r>
          </w:p>
        </w:tc>
        <w:tc>
          <w:tcPr>
            <w:tcW w:w="1281" w:type="dxa"/>
            <w:tcBorders>
              <w:top w:val="single" w:sz="6" w:space="0" w:color="auto"/>
              <w:left w:val="single" w:sz="6" w:space="0" w:color="auto"/>
              <w:bottom w:val="single" w:sz="6" w:space="0" w:color="auto"/>
              <w:right w:val="single" w:sz="6" w:space="0" w:color="auto"/>
            </w:tcBorders>
            <w:vAlign w:val="center"/>
          </w:tcPr>
          <w:p w:rsidR="002A4E69" w:rsidRPr="00CF5651" w:rsidRDefault="0076332C" w:rsidP="00CF0D99">
            <w:pPr>
              <w:autoSpaceDE w:val="0"/>
              <w:autoSpaceDN w:val="0"/>
              <w:adjustRightInd w:val="0"/>
              <w:jc w:val="right"/>
              <w:rPr>
                <w:rFonts w:ascii="Calibri" w:hAnsi="Calibri"/>
                <w:color w:val="000000"/>
                <w:sz w:val="18"/>
                <w:szCs w:val="18"/>
              </w:rPr>
            </w:pPr>
            <w:r w:rsidRPr="00CF5651">
              <w:rPr>
                <w:rFonts w:ascii="Calibri" w:hAnsi="Calibri"/>
                <w:color w:val="000000"/>
                <w:sz w:val="18"/>
                <w:szCs w:val="18"/>
              </w:rPr>
              <w:t>0</w:t>
            </w:r>
          </w:p>
        </w:tc>
        <w:tc>
          <w:tcPr>
            <w:tcW w:w="1232" w:type="dxa"/>
            <w:tcBorders>
              <w:top w:val="single" w:sz="6" w:space="0" w:color="auto"/>
              <w:left w:val="single" w:sz="6" w:space="0" w:color="auto"/>
              <w:bottom w:val="single" w:sz="6" w:space="0" w:color="auto"/>
              <w:right w:val="single" w:sz="6" w:space="0" w:color="auto"/>
            </w:tcBorders>
            <w:vAlign w:val="center"/>
          </w:tcPr>
          <w:p w:rsidR="002A4E69" w:rsidRPr="00CF5651" w:rsidRDefault="0076332C" w:rsidP="00CF0D99">
            <w:pPr>
              <w:autoSpaceDE w:val="0"/>
              <w:autoSpaceDN w:val="0"/>
              <w:adjustRightInd w:val="0"/>
              <w:jc w:val="right"/>
              <w:rPr>
                <w:rFonts w:ascii="Calibri" w:hAnsi="Calibri"/>
                <w:color w:val="000000"/>
                <w:sz w:val="18"/>
                <w:szCs w:val="18"/>
              </w:rPr>
            </w:pPr>
            <w:r w:rsidRPr="00CF5651">
              <w:rPr>
                <w:rFonts w:ascii="Calibri" w:hAnsi="Calibri"/>
                <w:color w:val="000000"/>
                <w:sz w:val="18"/>
                <w:szCs w:val="18"/>
              </w:rPr>
              <w:t>0</w:t>
            </w:r>
          </w:p>
        </w:tc>
        <w:tc>
          <w:tcPr>
            <w:tcW w:w="1232" w:type="dxa"/>
            <w:tcBorders>
              <w:top w:val="single" w:sz="6" w:space="0" w:color="auto"/>
              <w:left w:val="single" w:sz="6" w:space="0" w:color="auto"/>
              <w:bottom w:val="single" w:sz="6" w:space="0" w:color="auto"/>
              <w:right w:val="single" w:sz="6" w:space="0" w:color="auto"/>
            </w:tcBorders>
            <w:vAlign w:val="center"/>
          </w:tcPr>
          <w:p w:rsidR="002A4E69" w:rsidRPr="00CF5651" w:rsidRDefault="0076332C" w:rsidP="00CF0D99">
            <w:pPr>
              <w:autoSpaceDE w:val="0"/>
              <w:autoSpaceDN w:val="0"/>
              <w:adjustRightInd w:val="0"/>
              <w:jc w:val="right"/>
              <w:rPr>
                <w:rFonts w:ascii="Calibri" w:hAnsi="Calibri"/>
                <w:color w:val="000000"/>
                <w:sz w:val="18"/>
                <w:szCs w:val="18"/>
              </w:rPr>
            </w:pPr>
            <w:r w:rsidRPr="00CF5651">
              <w:rPr>
                <w:rFonts w:ascii="Calibri" w:hAnsi="Calibri"/>
                <w:color w:val="000000"/>
                <w:sz w:val="18"/>
                <w:szCs w:val="18"/>
              </w:rPr>
              <w:t>0</w:t>
            </w:r>
          </w:p>
        </w:tc>
      </w:tr>
      <w:tr w:rsidR="002969A4" w:rsidRPr="00CF5651" w:rsidTr="00CF0D99">
        <w:trPr>
          <w:trHeight w:val="340"/>
        </w:trPr>
        <w:tc>
          <w:tcPr>
            <w:tcW w:w="1082" w:type="dxa"/>
            <w:tcBorders>
              <w:top w:val="single" w:sz="6" w:space="0" w:color="auto"/>
              <w:left w:val="single" w:sz="6" w:space="0" w:color="auto"/>
              <w:bottom w:val="single" w:sz="6" w:space="0" w:color="auto"/>
              <w:right w:val="single" w:sz="6" w:space="0" w:color="auto"/>
            </w:tcBorders>
            <w:vAlign w:val="center"/>
          </w:tcPr>
          <w:p w:rsidR="002969A4" w:rsidRPr="00CF5651" w:rsidRDefault="002969A4" w:rsidP="00CF0D99">
            <w:pPr>
              <w:autoSpaceDE w:val="0"/>
              <w:autoSpaceDN w:val="0"/>
              <w:adjustRightInd w:val="0"/>
              <w:rPr>
                <w:rFonts w:ascii="Calibri" w:hAnsi="Calibri"/>
                <w:color w:val="000000"/>
                <w:sz w:val="18"/>
                <w:szCs w:val="18"/>
              </w:rPr>
            </w:pPr>
            <w:r w:rsidRPr="00CF5651">
              <w:rPr>
                <w:rFonts w:ascii="Calibri" w:hAnsi="Calibri"/>
                <w:color w:val="000000"/>
                <w:sz w:val="18"/>
                <w:szCs w:val="18"/>
              </w:rPr>
              <w:t>2016</w:t>
            </w:r>
          </w:p>
        </w:tc>
        <w:tc>
          <w:tcPr>
            <w:tcW w:w="1011" w:type="dxa"/>
            <w:tcBorders>
              <w:top w:val="single" w:sz="6" w:space="0" w:color="auto"/>
              <w:left w:val="single" w:sz="6" w:space="0" w:color="auto"/>
              <w:bottom w:val="single" w:sz="6" w:space="0" w:color="auto"/>
              <w:right w:val="single" w:sz="6" w:space="0" w:color="auto"/>
            </w:tcBorders>
            <w:vAlign w:val="center"/>
          </w:tcPr>
          <w:p w:rsidR="002969A4" w:rsidRPr="00CF5651" w:rsidRDefault="002969A4" w:rsidP="00CF0D99">
            <w:pPr>
              <w:autoSpaceDE w:val="0"/>
              <w:autoSpaceDN w:val="0"/>
              <w:adjustRightInd w:val="0"/>
              <w:rPr>
                <w:rFonts w:ascii="Calibri" w:hAnsi="Calibri"/>
                <w:color w:val="000000"/>
                <w:sz w:val="18"/>
                <w:szCs w:val="18"/>
              </w:rPr>
            </w:pPr>
            <w:r w:rsidRPr="00CF5651">
              <w:rPr>
                <w:rFonts w:ascii="Calibri" w:hAnsi="Calibri"/>
                <w:color w:val="000000"/>
                <w:sz w:val="18"/>
                <w:szCs w:val="18"/>
              </w:rPr>
              <w:t>July</w:t>
            </w:r>
          </w:p>
        </w:tc>
        <w:tc>
          <w:tcPr>
            <w:tcW w:w="1069" w:type="dxa"/>
            <w:tcBorders>
              <w:top w:val="single" w:sz="6" w:space="0" w:color="auto"/>
              <w:left w:val="single" w:sz="6" w:space="0" w:color="auto"/>
              <w:bottom w:val="single" w:sz="6" w:space="0" w:color="auto"/>
              <w:right w:val="single" w:sz="6" w:space="0" w:color="auto"/>
            </w:tcBorders>
            <w:vAlign w:val="center"/>
          </w:tcPr>
          <w:p w:rsidR="002969A4" w:rsidRPr="00CF5651" w:rsidRDefault="002969A4" w:rsidP="00CF0D99">
            <w:pPr>
              <w:autoSpaceDE w:val="0"/>
              <w:autoSpaceDN w:val="0"/>
              <w:adjustRightInd w:val="0"/>
              <w:jc w:val="right"/>
              <w:rPr>
                <w:rFonts w:ascii="Calibri" w:hAnsi="Calibri"/>
                <w:color w:val="000000"/>
                <w:sz w:val="18"/>
                <w:szCs w:val="18"/>
              </w:rPr>
            </w:pPr>
            <w:r w:rsidRPr="00CF5651">
              <w:rPr>
                <w:rFonts w:ascii="Calibri" w:hAnsi="Calibri"/>
                <w:color w:val="000000"/>
                <w:sz w:val="18"/>
                <w:szCs w:val="18"/>
              </w:rPr>
              <w:t>1878</w:t>
            </w:r>
          </w:p>
        </w:tc>
        <w:tc>
          <w:tcPr>
            <w:tcW w:w="952" w:type="dxa"/>
            <w:tcBorders>
              <w:top w:val="single" w:sz="6" w:space="0" w:color="auto"/>
              <w:left w:val="single" w:sz="6" w:space="0" w:color="auto"/>
              <w:bottom w:val="single" w:sz="6" w:space="0" w:color="auto"/>
              <w:right w:val="single" w:sz="6" w:space="0" w:color="auto"/>
            </w:tcBorders>
            <w:vAlign w:val="center"/>
          </w:tcPr>
          <w:p w:rsidR="002969A4" w:rsidRPr="00CF5651" w:rsidRDefault="002969A4" w:rsidP="00CF0D99">
            <w:pPr>
              <w:autoSpaceDE w:val="0"/>
              <w:autoSpaceDN w:val="0"/>
              <w:adjustRightInd w:val="0"/>
              <w:jc w:val="right"/>
              <w:rPr>
                <w:rFonts w:ascii="Calibri" w:hAnsi="Calibri"/>
                <w:color w:val="000000"/>
                <w:sz w:val="18"/>
                <w:szCs w:val="18"/>
              </w:rPr>
            </w:pPr>
            <w:r w:rsidRPr="00CF5651">
              <w:rPr>
                <w:rFonts w:ascii="Calibri" w:hAnsi="Calibri"/>
                <w:color w:val="000000"/>
                <w:sz w:val="18"/>
                <w:szCs w:val="18"/>
              </w:rPr>
              <w:t>87</w:t>
            </w:r>
          </w:p>
        </w:tc>
        <w:tc>
          <w:tcPr>
            <w:tcW w:w="1281" w:type="dxa"/>
            <w:tcBorders>
              <w:top w:val="single" w:sz="6" w:space="0" w:color="auto"/>
              <w:left w:val="single" w:sz="6" w:space="0" w:color="auto"/>
              <w:bottom w:val="single" w:sz="6" w:space="0" w:color="auto"/>
              <w:right w:val="single" w:sz="6" w:space="0" w:color="auto"/>
            </w:tcBorders>
            <w:vAlign w:val="center"/>
          </w:tcPr>
          <w:p w:rsidR="002969A4" w:rsidRPr="00CF5651" w:rsidRDefault="002969A4" w:rsidP="00CF0D99">
            <w:pPr>
              <w:autoSpaceDE w:val="0"/>
              <w:autoSpaceDN w:val="0"/>
              <w:adjustRightInd w:val="0"/>
              <w:jc w:val="right"/>
              <w:rPr>
                <w:rFonts w:ascii="Calibri" w:hAnsi="Calibri"/>
                <w:color w:val="000000"/>
                <w:sz w:val="18"/>
                <w:szCs w:val="18"/>
              </w:rPr>
            </w:pPr>
            <w:r w:rsidRPr="00CF5651">
              <w:rPr>
                <w:rFonts w:ascii="Calibri" w:hAnsi="Calibri"/>
                <w:color w:val="000000"/>
                <w:sz w:val="18"/>
                <w:szCs w:val="18"/>
              </w:rPr>
              <w:t>616</w:t>
            </w:r>
          </w:p>
        </w:tc>
        <w:tc>
          <w:tcPr>
            <w:tcW w:w="1232" w:type="dxa"/>
            <w:tcBorders>
              <w:top w:val="single" w:sz="6" w:space="0" w:color="auto"/>
              <w:left w:val="single" w:sz="6" w:space="0" w:color="auto"/>
              <w:bottom w:val="single" w:sz="6" w:space="0" w:color="auto"/>
              <w:right w:val="single" w:sz="6" w:space="0" w:color="auto"/>
            </w:tcBorders>
            <w:vAlign w:val="center"/>
          </w:tcPr>
          <w:p w:rsidR="002969A4" w:rsidRPr="00CF5651" w:rsidRDefault="00E23CE2" w:rsidP="00CF0D99">
            <w:pPr>
              <w:autoSpaceDE w:val="0"/>
              <w:autoSpaceDN w:val="0"/>
              <w:adjustRightInd w:val="0"/>
              <w:jc w:val="right"/>
              <w:rPr>
                <w:rFonts w:ascii="Calibri" w:hAnsi="Calibri"/>
                <w:color w:val="000000"/>
                <w:sz w:val="18"/>
                <w:szCs w:val="18"/>
              </w:rPr>
            </w:pPr>
            <w:r>
              <w:rPr>
                <w:rFonts w:ascii="Calibri" w:hAnsi="Calibri"/>
                <w:color w:val="000000"/>
                <w:sz w:val="18"/>
                <w:szCs w:val="18"/>
              </w:rPr>
              <w:t>410</w:t>
            </w:r>
          </w:p>
        </w:tc>
        <w:tc>
          <w:tcPr>
            <w:tcW w:w="1232" w:type="dxa"/>
            <w:tcBorders>
              <w:top w:val="single" w:sz="6" w:space="0" w:color="auto"/>
              <w:left w:val="single" w:sz="6" w:space="0" w:color="auto"/>
              <w:bottom w:val="single" w:sz="6" w:space="0" w:color="auto"/>
              <w:right w:val="single" w:sz="6" w:space="0" w:color="auto"/>
            </w:tcBorders>
            <w:vAlign w:val="center"/>
          </w:tcPr>
          <w:p w:rsidR="002969A4" w:rsidRPr="00CF5651" w:rsidRDefault="000A71E8" w:rsidP="00CF0D99">
            <w:pPr>
              <w:autoSpaceDE w:val="0"/>
              <w:autoSpaceDN w:val="0"/>
              <w:adjustRightInd w:val="0"/>
              <w:jc w:val="right"/>
              <w:rPr>
                <w:rFonts w:ascii="Calibri" w:hAnsi="Calibri"/>
                <w:color w:val="000000"/>
                <w:sz w:val="18"/>
                <w:szCs w:val="18"/>
              </w:rPr>
            </w:pPr>
            <w:r>
              <w:rPr>
                <w:rFonts w:ascii="Calibri" w:hAnsi="Calibri"/>
                <w:color w:val="000000"/>
                <w:sz w:val="18"/>
                <w:szCs w:val="18"/>
              </w:rPr>
              <w:t>0</w:t>
            </w:r>
          </w:p>
        </w:tc>
      </w:tr>
      <w:tr w:rsidR="002969A4" w:rsidRPr="00CF5651" w:rsidTr="00CF0D99">
        <w:trPr>
          <w:trHeight w:val="340"/>
        </w:trPr>
        <w:tc>
          <w:tcPr>
            <w:tcW w:w="1082" w:type="dxa"/>
            <w:tcBorders>
              <w:top w:val="single" w:sz="6" w:space="0" w:color="auto"/>
              <w:left w:val="single" w:sz="6" w:space="0" w:color="auto"/>
              <w:bottom w:val="single" w:sz="6" w:space="0" w:color="auto"/>
              <w:right w:val="single" w:sz="6" w:space="0" w:color="auto"/>
            </w:tcBorders>
            <w:vAlign w:val="center"/>
          </w:tcPr>
          <w:p w:rsidR="002969A4" w:rsidRPr="00CF5651" w:rsidRDefault="002969A4" w:rsidP="00CF0D99">
            <w:pPr>
              <w:autoSpaceDE w:val="0"/>
              <w:autoSpaceDN w:val="0"/>
              <w:adjustRightInd w:val="0"/>
              <w:rPr>
                <w:rFonts w:ascii="Calibri" w:hAnsi="Calibri"/>
                <w:color w:val="000000"/>
                <w:sz w:val="18"/>
                <w:szCs w:val="18"/>
              </w:rPr>
            </w:pPr>
            <w:r w:rsidRPr="00CF5651">
              <w:rPr>
                <w:rFonts w:ascii="Calibri" w:hAnsi="Calibri"/>
                <w:color w:val="000000"/>
                <w:sz w:val="18"/>
                <w:szCs w:val="18"/>
              </w:rPr>
              <w:t>2017</w:t>
            </w:r>
          </w:p>
        </w:tc>
        <w:tc>
          <w:tcPr>
            <w:tcW w:w="1011" w:type="dxa"/>
            <w:tcBorders>
              <w:top w:val="single" w:sz="6" w:space="0" w:color="auto"/>
              <w:left w:val="single" w:sz="6" w:space="0" w:color="auto"/>
              <w:bottom w:val="single" w:sz="6" w:space="0" w:color="auto"/>
              <w:right w:val="single" w:sz="6" w:space="0" w:color="auto"/>
            </w:tcBorders>
            <w:vAlign w:val="center"/>
          </w:tcPr>
          <w:p w:rsidR="002969A4" w:rsidRPr="00CF5651" w:rsidRDefault="002969A4" w:rsidP="00CF0D99">
            <w:pPr>
              <w:autoSpaceDE w:val="0"/>
              <w:autoSpaceDN w:val="0"/>
              <w:adjustRightInd w:val="0"/>
              <w:rPr>
                <w:rFonts w:ascii="Calibri" w:hAnsi="Calibri"/>
                <w:color w:val="000000"/>
                <w:sz w:val="18"/>
                <w:szCs w:val="18"/>
              </w:rPr>
            </w:pPr>
            <w:r w:rsidRPr="00CF5651">
              <w:rPr>
                <w:rFonts w:ascii="Calibri" w:hAnsi="Calibri"/>
                <w:color w:val="000000"/>
                <w:sz w:val="18"/>
                <w:szCs w:val="18"/>
              </w:rPr>
              <w:t>May</w:t>
            </w:r>
          </w:p>
        </w:tc>
        <w:tc>
          <w:tcPr>
            <w:tcW w:w="1069" w:type="dxa"/>
            <w:tcBorders>
              <w:top w:val="single" w:sz="6" w:space="0" w:color="auto"/>
              <w:left w:val="single" w:sz="6" w:space="0" w:color="auto"/>
              <w:bottom w:val="single" w:sz="6" w:space="0" w:color="auto"/>
              <w:right w:val="single" w:sz="6" w:space="0" w:color="auto"/>
            </w:tcBorders>
            <w:vAlign w:val="center"/>
          </w:tcPr>
          <w:p w:rsidR="002969A4" w:rsidRPr="00CF5651" w:rsidRDefault="002969A4" w:rsidP="00CF0D99">
            <w:pPr>
              <w:autoSpaceDE w:val="0"/>
              <w:autoSpaceDN w:val="0"/>
              <w:adjustRightInd w:val="0"/>
              <w:jc w:val="right"/>
              <w:rPr>
                <w:rFonts w:ascii="Calibri" w:hAnsi="Calibri"/>
                <w:color w:val="000000"/>
                <w:sz w:val="18"/>
                <w:szCs w:val="18"/>
              </w:rPr>
            </w:pPr>
            <w:r w:rsidRPr="00CF5651">
              <w:rPr>
                <w:rFonts w:ascii="Calibri" w:hAnsi="Calibri"/>
                <w:color w:val="000000"/>
                <w:sz w:val="18"/>
                <w:szCs w:val="18"/>
              </w:rPr>
              <w:t>2316</w:t>
            </w:r>
          </w:p>
        </w:tc>
        <w:tc>
          <w:tcPr>
            <w:tcW w:w="952" w:type="dxa"/>
            <w:tcBorders>
              <w:top w:val="single" w:sz="6" w:space="0" w:color="auto"/>
              <w:left w:val="single" w:sz="6" w:space="0" w:color="auto"/>
              <w:bottom w:val="single" w:sz="6" w:space="0" w:color="auto"/>
              <w:right w:val="single" w:sz="6" w:space="0" w:color="auto"/>
            </w:tcBorders>
            <w:vAlign w:val="center"/>
          </w:tcPr>
          <w:p w:rsidR="002969A4" w:rsidRPr="00CF5651" w:rsidRDefault="002969A4" w:rsidP="00CF0D99">
            <w:pPr>
              <w:autoSpaceDE w:val="0"/>
              <w:autoSpaceDN w:val="0"/>
              <w:adjustRightInd w:val="0"/>
              <w:jc w:val="right"/>
              <w:rPr>
                <w:rFonts w:ascii="Calibri" w:hAnsi="Calibri"/>
                <w:color w:val="000000"/>
                <w:sz w:val="18"/>
                <w:szCs w:val="18"/>
              </w:rPr>
            </w:pPr>
            <w:r w:rsidRPr="00CF5651">
              <w:rPr>
                <w:rFonts w:ascii="Calibri" w:hAnsi="Calibri"/>
                <w:color w:val="000000"/>
                <w:sz w:val="18"/>
                <w:szCs w:val="18"/>
              </w:rPr>
              <w:t>95</w:t>
            </w:r>
          </w:p>
        </w:tc>
        <w:tc>
          <w:tcPr>
            <w:tcW w:w="1281" w:type="dxa"/>
            <w:tcBorders>
              <w:top w:val="single" w:sz="6" w:space="0" w:color="auto"/>
              <w:left w:val="single" w:sz="6" w:space="0" w:color="auto"/>
              <w:bottom w:val="single" w:sz="6" w:space="0" w:color="auto"/>
              <w:right w:val="single" w:sz="6" w:space="0" w:color="auto"/>
            </w:tcBorders>
            <w:vAlign w:val="center"/>
          </w:tcPr>
          <w:p w:rsidR="002969A4" w:rsidRPr="00CF5651" w:rsidRDefault="002969A4" w:rsidP="00CF0D99">
            <w:pPr>
              <w:autoSpaceDE w:val="0"/>
              <w:autoSpaceDN w:val="0"/>
              <w:adjustRightInd w:val="0"/>
              <w:jc w:val="right"/>
              <w:rPr>
                <w:rFonts w:ascii="Calibri" w:hAnsi="Calibri"/>
                <w:color w:val="000000"/>
                <w:sz w:val="18"/>
                <w:szCs w:val="18"/>
              </w:rPr>
            </w:pPr>
            <w:r w:rsidRPr="00CF5651">
              <w:rPr>
                <w:rFonts w:ascii="Calibri" w:hAnsi="Calibri"/>
                <w:color w:val="000000"/>
                <w:sz w:val="18"/>
                <w:szCs w:val="18"/>
              </w:rPr>
              <w:t>772</w:t>
            </w:r>
          </w:p>
        </w:tc>
        <w:tc>
          <w:tcPr>
            <w:tcW w:w="1232" w:type="dxa"/>
            <w:tcBorders>
              <w:top w:val="single" w:sz="6" w:space="0" w:color="auto"/>
              <w:left w:val="single" w:sz="6" w:space="0" w:color="auto"/>
              <w:bottom w:val="single" w:sz="6" w:space="0" w:color="auto"/>
              <w:right w:val="single" w:sz="6" w:space="0" w:color="auto"/>
            </w:tcBorders>
            <w:vAlign w:val="center"/>
          </w:tcPr>
          <w:p w:rsidR="002969A4" w:rsidRPr="00CF5651" w:rsidRDefault="005B35EE" w:rsidP="00CF0D99">
            <w:pPr>
              <w:autoSpaceDE w:val="0"/>
              <w:autoSpaceDN w:val="0"/>
              <w:adjustRightInd w:val="0"/>
              <w:jc w:val="right"/>
              <w:rPr>
                <w:rFonts w:ascii="Calibri" w:hAnsi="Calibri"/>
                <w:color w:val="000000"/>
                <w:sz w:val="18"/>
                <w:szCs w:val="18"/>
              </w:rPr>
            </w:pPr>
            <w:r>
              <w:rPr>
                <w:rFonts w:ascii="Calibri" w:hAnsi="Calibri"/>
                <w:color w:val="000000"/>
                <w:sz w:val="18"/>
                <w:szCs w:val="18"/>
              </w:rPr>
              <w:t>772</w:t>
            </w:r>
          </w:p>
        </w:tc>
        <w:tc>
          <w:tcPr>
            <w:tcW w:w="1232" w:type="dxa"/>
            <w:tcBorders>
              <w:top w:val="single" w:sz="6" w:space="0" w:color="auto"/>
              <w:left w:val="single" w:sz="6" w:space="0" w:color="auto"/>
              <w:bottom w:val="single" w:sz="6" w:space="0" w:color="auto"/>
              <w:right w:val="single" w:sz="6" w:space="0" w:color="auto"/>
            </w:tcBorders>
            <w:vAlign w:val="center"/>
          </w:tcPr>
          <w:p w:rsidR="002969A4" w:rsidRPr="00CF5651" w:rsidRDefault="000A71E8" w:rsidP="00CF0D99">
            <w:pPr>
              <w:autoSpaceDE w:val="0"/>
              <w:autoSpaceDN w:val="0"/>
              <w:adjustRightInd w:val="0"/>
              <w:jc w:val="right"/>
              <w:rPr>
                <w:rFonts w:ascii="Calibri" w:hAnsi="Calibri"/>
                <w:color w:val="000000"/>
                <w:sz w:val="18"/>
                <w:szCs w:val="18"/>
              </w:rPr>
            </w:pPr>
            <w:r>
              <w:rPr>
                <w:rFonts w:ascii="Calibri" w:hAnsi="Calibri"/>
                <w:color w:val="000000"/>
                <w:sz w:val="18"/>
                <w:szCs w:val="18"/>
              </w:rPr>
              <w:t>0</w:t>
            </w:r>
          </w:p>
        </w:tc>
      </w:tr>
      <w:tr w:rsidR="000A71E8" w:rsidRPr="00CF5651" w:rsidTr="00CF0D99">
        <w:trPr>
          <w:trHeight w:val="340"/>
        </w:trPr>
        <w:tc>
          <w:tcPr>
            <w:tcW w:w="1082" w:type="dxa"/>
            <w:tcBorders>
              <w:top w:val="single" w:sz="6" w:space="0" w:color="auto"/>
              <w:left w:val="single" w:sz="6" w:space="0" w:color="auto"/>
              <w:bottom w:val="single" w:sz="6" w:space="0" w:color="auto"/>
              <w:right w:val="single" w:sz="6" w:space="0" w:color="auto"/>
            </w:tcBorders>
            <w:vAlign w:val="center"/>
          </w:tcPr>
          <w:p w:rsidR="000A71E8" w:rsidRPr="00CF5651" w:rsidRDefault="000A71E8" w:rsidP="00CF0D99">
            <w:pPr>
              <w:autoSpaceDE w:val="0"/>
              <w:autoSpaceDN w:val="0"/>
              <w:adjustRightInd w:val="0"/>
              <w:rPr>
                <w:rFonts w:ascii="Calibri" w:hAnsi="Calibri"/>
                <w:color w:val="000000"/>
                <w:sz w:val="18"/>
                <w:szCs w:val="18"/>
              </w:rPr>
            </w:pPr>
            <w:r>
              <w:rPr>
                <w:rFonts w:ascii="Calibri" w:hAnsi="Calibri"/>
                <w:color w:val="000000"/>
                <w:sz w:val="18"/>
                <w:szCs w:val="18"/>
              </w:rPr>
              <w:t>2018</w:t>
            </w:r>
          </w:p>
        </w:tc>
        <w:tc>
          <w:tcPr>
            <w:tcW w:w="1011" w:type="dxa"/>
            <w:tcBorders>
              <w:top w:val="single" w:sz="6" w:space="0" w:color="auto"/>
              <w:left w:val="single" w:sz="6" w:space="0" w:color="auto"/>
              <w:bottom w:val="single" w:sz="6" w:space="0" w:color="auto"/>
              <w:right w:val="single" w:sz="6" w:space="0" w:color="auto"/>
            </w:tcBorders>
            <w:vAlign w:val="center"/>
          </w:tcPr>
          <w:p w:rsidR="000A71E8" w:rsidRPr="00CF5651" w:rsidRDefault="000A71E8" w:rsidP="00CF0D99">
            <w:pPr>
              <w:autoSpaceDE w:val="0"/>
              <w:autoSpaceDN w:val="0"/>
              <w:adjustRightInd w:val="0"/>
              <w:rPr>
                <w:rFonts w:ascii="Calibri" w:hAnsi="Calibri"/>
                <w:color w:val="000000"/>
                <w:sz w:val="18"/>
                <w:szCs w:val="18"/>
              </w:rPr>
            </w:pPr>
            <w:r>
              <w:rPr>
                <w:rFonts w:ascii="Calibri" w:hAnsi="Calibri"/>
                <w:color w:val="000000"/>
                <w:sz w:val="18"/>
                <w:szCs w:val="18"/>
              </w:rPr>
              <w:t>June</w:t>
            </w:r>
          </w:p>
        </w:tc>
        <w:tc>
          <w:tcPr>
            <w:tcW w:w="1069" w:type="dxa"/>
            <w:tcBorders>
              <w:top w:val="single" w:sz="6" w:space="0" w:color="auto"/>
              <w:left w:val="single" w:sz="6" w:space="0" w:color="auto"/>
              <w:bottom w:val="single" w:sz="6" w:space="0" w:color="auto"/>
              <w:right w:val="single" w:sz="6" w:space="0" w:color="auto"/>
            </w:tcBorders>
            <w:vAlign w:val="center"/>
          </w:tcPr>
          <w:p w:rsidR="000A71E8" w:rsidRPr="00CF5651" w:rsidRDefault="000A71E8" w:rsidP="00CF0D99">
            <w:pPr>
              <w:autoSpaceDE w:val="0"/>
              <w:autoSpaceDN w:val="0"/>
              <w:adjustRightInd w:val="0"/>
              <w:jc w:val="right"/>
              <w:rPr>
                <w:rFonts w:ascii="Calibri" w:hAnsi="Calibri"/>
                <w:color w:val="000000"/>
                <w:sz w:val="18"/>
                <w:szCs w:val="18"/>
              </w:rPr>
            </w:pPr>
            <w:r>
              <w:rPr>
                <w:rFonts w:ascii="Calibri" w:hAnsi="Calibri"/>
                <w:color w:val="000000"/>
                <w:sz w:val="18"/>
                <w:szCs w:val="18"/>
              </w:rPr>
              <w:t>1644</w:t>
            </w:r>
          </w:p>
        </w:tc>
        <w:tc>
          <w:tcPr>
            <w:tcW w:w="952" w:type="dxa"/>
            <w:tcBorders>
              <w:top w:val="single" w:sz="6" w:space="0" w:color="auto"/>
              <w:left w:val="single" w:sz="6" w:space="0" w:color="auto"/>
              <w:bottom w:val="single" w:sz="6" w:space="0" w:color="auto"/>
              <w:right w:val="single" w:sz="6" w:space="0" w:color="auto"/>
            </w:tcBorders>
            <w:vAlign w:val="center"/>
          </w:tcPr>
          <w:p w:rsidR="000A71E8" w:rsidRPr="00CF5651" w:rsidRDefault="000A71E8" w:rsidP="00CF0D99">
            <w:pPr>
              <w:autoSpaceDE w:val="0"/>
              <w:autoSpaceDN w:val="0"/>
              <w:adjustRightInd w:val="0"/>
              <w:jc w:val="right"/>
              <w:rPr>
                <w:rFonts w:ascii="Calibri" w:hAnsi="Calibri"/>
                <w:color w:val="000000"/>
                <w:sz w:val="18"/>
                <w:szCs w:val="18"/>
              </w:rPr>
            </w:pPr>
            <w:r>
              <w:rPr>
                <w:rFonts w:ascii="Calibri" w:hAnsi="Calibri"/>
                <w:color w:val="000000"/>
                <w:sz w:val="18"/>
                <w:szCs w:val="18"/>
              </w:rPr>
              <w:t>257</w:t>
            </w:r>
          </w:p>
        </w:tc>
        <w:tc>
          <w:tcPr>
            <w:tcW w:w="1281" w:type="dxa"/>
            <w:tcBorders>
              <w:top w:val="single" w:sz="6" w:space="0" w:color="auto"/>
              <w:left w:val="single" w:sz="6" w:space="0" w:color="auto"/>
              <w:bottom w:val="single" w:sz="6" w:space="0" w:color="auto"/>
              <w:right w:val="single" w:sz="6" w:space="0" w:color="auto"/>
            </w:tcBorders>
            <w:vAlign w:val="center"/>
          </w:tcPr>
          <w:p w:rsidR="000A71E8" w:rsidRPr="00CF5651" w:rsidRDefault="000A71E8" w:rsidP="00CF0D99">
            <w:pPr>
              <w:autoSpaceDE w:val="0"/>
              <w:autoSpaceDN w:val="0"/>
              <w:adjustRightInd w:val="0"/>
              <w:jc w:val="right"/>
              <w:rPr>
                <w:rFonts w:ascii="Calibri" w:hAnsi="Calibri"/>
                <w:color w:val="000000"/>
                <w:sz w:val="18"/>
                <w:szCs w:val="18"/>
              </w:rPr>
            </w:pPr>
            <w:r>
              <w:rPr>
                <w:rFonts w:ascii="Calibri" w:hAnsi="Calibri"/>
                <w:color w:val="000000"/>
                <w:sz w:val="18"/>
                <w:szCs w:val="18"/>
              </w:rPr>
              <w:t>542</w:t>
            </w:r>
          </w:p>
        </w:tc>
        <w:tc>
          <w:tcPr>
            <w:tcW w:w="1232" w:type="dxa"/>
            <w:tcBorders>
              <w:top w:val="single" w:sz="6" w:space="0" w:color="auto"/>
              <w:left w:val="single" w:sz="6" w:space="0" w:color="auto"/>
              <w:bottom w:val="single" w:sz="6" w:space="0" w:color="auto"/>
              <w:right w:val="single" w:sz="6" w:space="0" w:color="auto"/>
            </w:tcBorders>
            <w:vAlign w:val="center"/>
          </w:tcPr>
          <w:p w:rsidR="000A71E8" w:rsidRPr="00CF5651" w:rsidRDefault="00766541" w:rsidP="00CF0D99">
            <w:pPr>
              <w:autoSpaceDE w:val="0"/>
              <w:autoSpaceDN w:val="0"/>
              <w:adjustRightInd w:val="0"/>
              <w:jc w:val="right"/>
              <w:rPr>
                <w:rFonts w:ascii="Calibri" w:hAnsi="Calibri"/>
                <w:color w:val="000000"/>
                <w:sz w:val="18"/>
                <w:szCs w:val="18"/>
              </w:rPr>
            </w:pPr>
            <w:r>
              <w:rPr>
                <w:rFonts w:ascii="Calibri" w:hAnsi="Calibri"/>
                <w:color w:val="000000"/>
                <w:sz w:val="18"/>
                <w:szCs w:val="18"/>
              </w:rPr>
              <w:t>446</w:t>
            </w:r>
          </w:p>
        </w:tc>
        <w:tc>
          <w:tcPr>
            <w:tcW w:w="1232" w:type="dxa"/>
            <w:tcBorders>
              <w:top w:val="single" w:sz="6" w:space="0" w:color="auto"/>
              <w:left w:val="single" w:sz="6" w:space="0" w:color="auto"/>
              <w:bottom w:val="single" w:sz="6" w:space="0" w:color="auto"/>
              <w:right w:val="single" w:sz="6" w:space="0" w:color="auto"/>
            </w:tcBorders>
            <w:vAlign w:val="center"/>
          </w:tcPr>
          <w:p w:rsidR="000A71E8" w:rsidRPr="00CF5651" w:rsidRDefault="00766541" w:rsidP="00CF0D99">
            <w:pPr>
              <w:autoSpaceDE w:val="0"/>
              <w:autoSpaceDN w:val="0"/>
              <w:adjustRightInd w:val="0"/>
              <w:jc w:val="right"/>
              <w:rPr>
                <w:rFonts w:ascii="Calibri" w:hAnsi="Calibri"/>
                <w:color w:val="000000"/>
                <w:sz w:val="18"/>
                <w:szCs w:val="18"/>
              </w:rPr>
            </w:pPr>
            <w:r>
              <w:rPr>
                <w:rFonts w:ascii="Calibri" w:hAnsi="Calibri"/>
                <w:color w:val="000000"/>
                <w:sz w:val="18"/>
                <w:szCs w:val="18"/>
              </w:rPr>
              <w:t>0</w:t>
            </w:r>
          </w:p>
        </w:tc>
      </w:tr>
      <w:tr w:rsidR="00CB79EF" w:rsidRPr="00CF5651" w:rsidTr="00CF0D99">
        <w:trPr>
          <w:trHeight w:val="340"/>
        </w:trPr>
        <w:tc>
          <w:tcPr>
            <w:tcW w:w="1082" w:type="dxa"/>
            <w:tcBorders>
              <w:top w:val="single" w:sz="6" w:space="0" w:color="auto"/>
              <w:left w:val="single" w:sz="6" w:space="0" w:color="auto"/>
              <w:bottom w:val="single" w:sz="6" w:space="0" w:color="auto"/>
              <w:right w:val="single" w:sz="6" w:space="0" w:color="auto"/>
            </w:tcBorders>
            <w:vAlign w:val="center"/>
          </w:tcPr>
          <w:p w:rsidR="00CB79EF" w:rsidRDefault="00CB79EF" w:rsidP="00CF0D99">
            <w:pPr>
              <w:autoSpaceDE w:val="0"/>
              <w:autoSpaceDN w:val="0"/>
              <w:adjustRightInd w:val="0"/>
              <w:rPr>
                <w:rFonts w:ascii="Calibri" w:hAnsi="Calibri"/>
                <w:color w:val="000000"/>
                <w:sz w:val="18"/>
                <w:szCs w:val="18"/>
              </w:rPr>
            </w:pPr>
            <w:r>
              <w:rPr>
                <w:rFonts w:ascii="Calibri" w:hAnsi="Calibri"/>
                <w:color w:val="000000"/>
                <w:sz w:val="18"/>
                <w:szCs w:val="18"/>
              </w:rPr>
              <w:t>2019</w:t>
            </w:r>
          </w:p>
        </w:tc>
        <w:tc>
          <w:tcPr>
            <w:tcW w:w="1011" w:type="dxa"/>
            <w:tcBorders>
              <w:top w:val="single" w:sz="6" w:space="0" w:color="auto"/>
              <w:left w:val="single" w:sz="6" w:space="0" w:color="auto"/>
              <w:bottom w:val="single" w:sz="6" w:space="0" w:color="auto"/>
              <w:right w:val="single" w:sz="6" w:space="0" w:color="auto"/>
            </w:tcBorders>
            <w:vAlign w:val="center"/>
          </w:tcPr>
          <w:p w:rsidR="00CB79EF" w:rsidRDefault="00CB79EF" w:rsidP="00CF0D99">
            <w:pPr>
              <w:autoSpaceDE w:val="0"/>
              <w:autoSpaceDN w:val="0"/>
              <w:adjustRightInd w:val="0"/>
              <w:rPr>
                <w:rFonts w:ascii="Calibri" w:hAnsi="Calibri"/>
                <w:color w:val="000000"/>
                <w:sz w:val="18"/>
                <w:szCs w:val="18"/>
              </w:rPr>
            </w:pPr>
            <w:r>
              <w:rPr>
                <w:rFonts w:ascii="Calibri" w:hAnsi="Calibri"/>
                <w:color w:val="000000"/>
                <w:sz w:val="18"/>
                <w:szCs w:val="18"/>
              </w:rPr>
              <w:t>July</w:t>
            </w:r>
          </w:p>
        </w:tc>
        <w:tc>
          <w:tcPr>
            <w:tcW w:w="1069" w:type="dxa"/>
            <w:tcBorders>
              <w:top w:val="single" w:sz="6" w:space="0" w:color="auto"/>
              <w:left w:val="single" w:sz="6" w:space="0" w:color="auto"/>
              <w:bottom w:val="single" w:sz="6" w:space="0" w:color="auto"/>
              <w:right w:val="single" w:sz="6" w:space="0" w:color="auto"/>
            </w:tcBorders>
            <w:vAlign w:val="center"/>
          </w:tcPr>
          <w:p w:rsidR="00CB79EF" w:rsidRDefault="00C715D1" w:rsidP="00CF0D99">
            <w:pPr>
              <w:autoSpaceDE w:val="0"/>
              <w:autoSpaceDN w:val="0"/>
              <w:adjustRightInd w:val="0"/>
              <w:jc w:val="right"/>
              <w:rPr>
                <w:rFonts w:ascii="Calibri" w:hAnsi="Calibri"/>
                <w:color w:val="000000"/>
                <w:sz w:val="18"/>
                <w:szCs w:val="18"/>
              </w:rPr>
            </w:pPr>
            <w:r>
              <w:rPr>
                <w:rFonts w:ascii="Calibri" w:hAnsi="Calibri"/>
                <w:color w:val="000000"/>
                <w:sz w:val="18"/>
                <w:szCs w:val="18"/>
              </w:rPr>
              <w:t>3789</w:t>
            </w:r>
          </w:p>
        </w:tc>
        <w:tc>
          <w:tcPr>
            <w:tcW w:w="952" w:type="dxa"/>
            <w:tcBorders>
              <w:top w:val="single" w:sz="6" w:space="0" w:color="auto"/>
              <w:left w:val="single" w:sz="6" w:space="0" w:color="auto"/>
              <w:bottom w:val="single" w:sz="6" w:space="0" w:color="auto"/>
              <w:right w:val="single" w:sz="6" w:space="0" w:color="auto"/>
            </w:tcBorders>
            <w:vAlign w:val="center"/>
          </w:tcPr>
          <w:p w:rsidR="00CB79EF" w:rsidRPr="00AE5F90" w:rsidRDefault="00CB79EF" w:rsidP="00CF0D99">
            <w:pPr>
              <w:autoSpaceDE w:val="0"/>
              <w:autoSpaceDN w:val="0"/>
              <w:adjustRightInd w:val="0"/>
              <w:jc w:val="right"/>
              <w:rPr>
                <w:rFonts w:ascii="Calibri" w:hAnsi="Calibri"/>
                <w:color w:val="000000"/>
                <w:sz w:val="18"/>
                <w:szCs w:val="18"/>
                <w:highlight w:val="yellow"/>
              </w:rPr>
            </w:pPr>
          </w:p>
        </w:tc>
        <w:tc>
          <w:tcPr>
            <w:tcW w:w="1281" w:type="dxa"/>
            <w:tcBorders>
              <w:top w:val="single" w:sz="6" w:space="0" w:color="auto"/>
              <w:left w:val="single" w:sz="6" w:space="0" w:color="auto"/>
              <w:bottom w:val="single" w:sz="6" w:space="0" w:color="auto"/>
              <w:right w:val="single" w:sz="6" w:space="0" w:color="auto"/>
            </w:tcBorders>
            <w:vAlign w:val="center"/>
          </w:tcPr>
          <w:p w:rsidR="00CB79EF" w:rsidRPr="00AE5F90" w:rsidRDefault="00C715D1" w:rsidP="00CF0D99">
            <w:pPr>
              <w:autoSpaceDE w:val="0"/>
              <w:autoSpaceDN w:val="0"/>
              <w:adjustRightInd w:val="0"/>
              <w:jc w:val="right"/>
              <w:rPr>
                <w:rFonts w:ascii="Calibri" w:hAnsi="Calibri"/>
                <w:color w:val="000000"/>
                <w:sz w:val="18"/>
                <w:szCs w:val="18"/>
                <w:highlight w:val="yellow"/>
              </w:rPr>
            </w:pPr>
            <w:r w:rsidRPr="005B35EE">
              <w:rPr>
                <w:rFonts w:ascii="Calibri" w:hAnsi="Calibri"/>
                <w:color w:val="000000"/>
                <w:sz w:val="18"/>
                <w:szCs w:val="18"/>
              </w:rPr>
              <w:t>600</w:t>
            </w:r>
          </w:p>
        </w:tc>
        <w:tc>
          <w:tcPr>
            <w:tcW w:w="1232" w:type="dxa"/>
            <w:tcBorders>
              <w:top w:val="single" w:sz="6" w:space="0" w:color="auto"/>
              <w:left w:val="single" w:sz="6" w:space="0" w:color="auto"/>
              <w:bottom w:val="single" w:sz="6" w:space="0" w:color="auto"/>
              <w:right w:val="single" w:sz="6" w:space="0" w:color="auto"/>
            </w:tcBorders>
            <w:vAlign w:val="center"/>
          </w:tcPr>
          <w:p w:rsidR="00CB79EF" w:rsidRPr="00CF5651" w:rsidRDefault="00CB79EF" w:rsidP="00CF0D99">
            <w:pPr>
              <w:autoSpaceDE w:val="0"/>
              <w:autoSpaceDN w:val="0"/>
              <w:adjustRightInd w:val="0"/>
              <w:jc w:val="right"/>
              <w:rPr>
                <w:rFonts w:ascii="Calibri" w:hAnsi="Calibri"/>
                <w:color w:val="000000"/>
                <w:sz w:val="18"/>
                <w:szCs w:val="18"/>
              </w:rPr>
            </w:pPr>
          </w:p>
        </w:tc>
        <w:tc>
          <w:tcPr>
            <w:tcW w:w="1232" w:type="dxa"/>
            <w:tcBorders>
              <w:top w:val="single" w:sz="6" w:space="0" w:color="auto"/>
              <w:left w:val="single" w:sz="6" w:space="0" w:color="auto"/>
              <w:bottom w:val="single" w:sz="6" w:space="0" w:color="auto"/>
              <w:right w:val="single" w:sz="6" w:space="0" w:color="auto"/>
            </w:tcBorders>
            <w:vAlign w:val="center"/>
          </w:tcPr>
          <w:p w:rsidR="00CB79EF" w:rsidRPr="00CF5651" w:rsidRDefault="00CB79EF" w:rsidP="00CF0D99">
            <w:pPr>
              <w:autoSpaceDE w:val="0"/>
              <w:autoSpaceDN w:val="0"/>
              <w:adjustRightInd w:val="0"/>
              <w:jc w:val="right"/>
              <w:rPr>
                <w:rFonts w:ascii="Calibri" w:hAnsi="Calibri"/>
                <w:color w:val="000000"/>
                <w:sz w:val="18"/>
                <w:szCs w:val="18"/>
              </w:rPr>
            </w:pPr>
          </w:p>
        </w:tc>
      </w:tr>
    </w:tbl>
    <w:p w:rsidR="0039715E" w:rsidRDefault="0039715E" w:rsidP="00480433">
      <w:pPr>
        <w:ind w:firstLine="720"/>
        <w:jc w:val="both"/>
        <w:rPr>
          <w:sz w:val="22"/>
          <w:szCs w:val="22"/>
        </w:rPr>
      </w:pPr>
    </w:p>
    <w:p w:rsidR="002A4E69" w:rsidRDefault="002A4E69" w:rsidP="00480433">
      <w:pPr>
        <w:ind w:firstLine="720"/>
        <w:jc w:val="both"/>
        <w:rPr>
          <w:sz w:val="22"/>
          <w:szCs w:val="22"/>
        </w:rPr>
      </w:pPr>
    </w:p>
    <w:p w:rsidR="002A4E69" w:rsidRDefault="002A4E69" w:rsidP="00480433">
      <w:pPr>
        <w:ind w:firstLine="720"/>
        <w:jc w:val="both"/>
        <w:rPr>
          <w:sz w:val="22"/>
          <w:szCs w:val="22"/>
        </w:rPr>
      </w:pPr>
    </w:p>
    <w:p w:rsidR="0076332C" w:rsidRDefault="0076332C">
      <w:pPr>
        <w:rPr>
          <w:b/>
        </w:rPr>
      </w:pPr>
    </w:p>
    <w:p w:rsidR="0076332C" w:rsidRDefault="0076332C">
      <w:pPr>
        <w:rPr>
          <w:b/>
        </w:rPr>
      </w:pPr>
    </w:p>
    <w:p w:rsidR="0076332C" w:rsidRDefault="0076332C">
      <w:pPr>
        <w:rPr>
          <w:b/>
        </w:rPr>
      </w:pPr>
    </w:p>
    <w:p w:rsidR="0076332C" w:rsidRDefault="0076332C">
      <w:pPr>
        <w:rPr>
          <w:b/>
        </w:rPr>
      </w:pPr>
    </w:p>
    <w:p w:rsidR="008E78C8" w:rsidRDefault="008E78C8"/>
    <w:p w:rsidR="00CB79EF" w:rsidRDefault="00CB79EF"/>
    <w:p w:rsidR="0076332C" w:rsidRPr="0076332C" w:rsidRDefault="0076332C">
      <w:r w:rsidRPr="0076332C">
        <w:t>END</w:t>
      </w:r>
    </w:p>
    <w:sectPr w:rsidR="0076332C" w:rsidRPr="0076332C" w:rsidSect="0048176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D32EC"/>
    <w:multiLevelType w:val="hybridMultilevel"/>
    <w:tmpl w:val="A152301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691D49C1"/>
    <w:multiLevelType w:val="hybridMultilevel"/>
    <w:tmpl w:val="647426AC"/>
    <w:lvl w:ilvl="0" w:tplc="6CE0548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796A1EDB"/>
    <w:multiLevelType w:val="hybridMultilevel"/>
    <w:tmpl w:val="426224A4"/>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0433"/>
    <w:rsid w:val="000223C0"/>
    <w:rsid w:val="00055E9A"/>
    <w:rsid w:val="00091889"/>
    <w:rsid w:val="000A499D"/>
    <w:rsid w:val="000A71E8"/>
    <w:rsid w:val="00117963"/>
    <w:rsid w:val="00121CCB"/>
    <w:rsid w:val="00173CD4"/>
    <w:rsid w:val="0018425E"/>
    <w:rsid w:val="002969A4"/>
    <w:rsid w:val="002A4E69"/>
    <w:rsid w:val="0039715E"/>
    <w:rsid w:val="003B447E"/>
    <w:rsid w:val="004224C3"/>
    <w:rsid w:val="00427376"/>
    <w:rsid w:val="00442EE3"/>
    <w:rsid w:val="00480433"/>
    <w:rsid w:val="00481760"/>
    <w:rsid w:val="00507F53"/>
    <w:rsid w:val="00536F9B"/>
    <w:rsid w:val="00556709"/>
    <w:rsid w:val="005A5A35"/>
    <w:rsid w:val="005B35EE"/>
    <w:rsid w:val="005C228E"/>
    <w:rsid w:val="00601EC3"/>
    <w:rsid w:val="00614745"/>
    <w:rsid w:val="00690051"/>
    <w:rsid w:val="00743C82"/>
    <w:rsid w:val="007601A6"/>
    <w:rsid w:val="0076332C"/>
    <w:rsid w:val="00766541"/>
    <w:rsid w:val="007D48F4"/>
    <w:rsid w:val="007E228F"/>
    <w:rsid w:val="00837720"/>
    <w:rsid w:val="008E78C8"/>
    <w:rsid w:val="00913A53"/>
    <w:rsid w:val="00953218"/>
    <w:rsid w:val="0096415B"/>
    <w:rsid w:val="0097014B"/>
    <w:rsid w:val="00A669BF"/>
    <w:rsid w:val="00A801A8"/>
    <w:rsid w:val="00A83670"/>
    <w:rsid w:val="00AC04F0"/>
    <w:rsid w:val="00AE210B"/>
    <w:rsid w:val="00AE5F90"/>
    <w:rsid w:val="00B23E02"/>
    <w:rsid w:val="00C14BAA"/>
    <w:rsid w:val="00C61C9F"/>
    <w:rsid w:val="00C715D1"/>
    <w:rsid w:val="00CA13B7"/>
    <w:rsid w:val="00CB0276"/>
    <w:rsid w:val="00CB79EF"/>
    <w:rsid w:val="00CD1CE1"/>
    <w:rsid w:val="00CD6AAD"/>
    <w:rsid w:val="00CF0D99"/>
    <w:rsid w:val="00CF5651"/>
    <w:rsid w:val="00D046C6"/>
    <w:rsid w:val="00D13309"/>
    <w:rsid w:val="00D87213"/>
    <w:rsid w:val="00DC3C87"/>
    <w:rsid w:val="00DC4E9D"/>
    <w:rsid w:val="00DE3CD7"/>
    <w:rsid w:val="00E23CE2"/>
    <w:rsid w:val="00E34453"/>
    <w:rsid w:val="00E9258C"/>
    <w:rsid w:val="00EB3F66"/>
    <w:rsid w:val="00EC04A6"/>
    <w:rsid w:val="00F30522"/>
    <w:rsid w:val="00FB7D2B"/>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433"/>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80433"/>
    <w:rPr>
      <w:color w:val="0000FF"/>
      <w:u w:val="single"/>
    </w:rPr>
  </w:style>
  <w:style w:type="paragraph" w:styleId="ListParagraph">
    <w:name w:val="List Paragraph"/>
    <w:basedOn w:val="Normal"/>
    <w:uiPriority w:val="34"/>
    <w:qFormat/>
    <w:rsid w:val="00480433"/>
    <w:pPr>
      <w:ind w:left="720"/>
      <w:contextualSpacing/>
    </w:pPr>
  </w:style>
  <w:style w:type="paragraph" w:styleId="BalloonText">
    <w:name w:val="Balloon Text"/>
    <w:basedOn w:val="Normal"/>
    <w:link w:val="BalloonTextChar"/>
    <w:uiPriority w:val="99"/>
    <w:semiHidden/>
    <w:unhideWhenUsed/>
    <w:rsid w:val="00480433"/>
    <w:rPr>
      <w:rFonts w:ascii="Tahoma" w:hAnsi="Tahoma" w:cs="Tahoma"/>
      <w:sz w:val="16"/>
      <w:szCs w:val="16"/>
    </w:rPr>
  </w:style>
  <w:style w:type="character" w:customStyle="1" w:styleId="BalloonTextChar">
    <w:name w:val="Balloon Text Char"/>
    <w:basedOn w:val="DefaultParagraphFont"/>
    <w:link w:val="BalloonText"/>
    <w:uiPriority w:val="99"/>
    <w:semiHidden/>
    <w:rsid w:val="00480433"/>
    <w:rPr>
      <w:rFonts w:ascii="Tahoma" w:eastAsia="Times New Roman" w:hAnsi="Tahoma" w:cs="Tahoma"/>
      <w:sz w:val="16"/>
      <w:szCs w:val="16"/>
      <w:lang w:val="en-GB" w:eastAsia="en-GB"/>
    </w:rPr>
  </w:style>
  <w:style w:type="paragraph" w:styleId="Caption">
    <w:name w:val="caption"/>
    <w:basedOn w:val="Normal"/>
    <w:next w:val="Normal"/>
    <w:uiPriority w:val="99"/>
    <w:qFormat/>
    <w:rsid w:val="002A4E69"/>
    <w:pPr>
      <w:jc w:val="both"/>
    </w:pPr>
    <w:rPr>
      <w:rFonts w:ascii="Gill Sans MT" w:hAnsi="Gill Sans MT"/>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liver.tully@marine.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D994A-93E3-499E-9A04-A73E96DA4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otully</dc:creator>
  <cp:lastModifiedBy>Brian.McSweeney</cp:lastModifiedBy>
  <cp:revision>2</cp:revision>
  <dcterms:created xsi:type="dcterms:W3CDTF">2019-08-09T13:37:00Z</dcterms:created>
  <dcterms:modified xsi:type="dcterms:W3CDTF">2019-08-09T13:37:00Z</dcterms:modified>
</cp:coreProperties>
</file>